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cs="Times New Roman" w:ascii="Times New Roman" w:hAnsi="Times New Roman"/>
          <w:sz w:val="32"/>
          <w:szCs w:val="32"/>
        </w:rPr>
        <w:t>Materská škola Kvačany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>
          <w:rFonts w:ascii="Times New Roman" w:hAnsi="Times New Roman" w:cs="Times New Roman"/>
          <w:b/>
          <w:sz w:val="28"/>
          <w:szCs w:val="28"/>
        </w:rPr>
      </w:pPr>
      <w:r>
        <w:rPr/>
        <w:t xml:space="preserve">                                                          </w:t>
      </w:r>
      <w:r>
        <w:rPr>
          <w:rFonts w:cs="Times New Roman" w:ascii="Times New Roman" w:hAnsi="Times New Roman"/>
          <w:b/>
          <w:sz w:val="28"/>
          <w:szCs w:val="28"/>
        </w:rPr>
        <w:t>Školský vzdelávací program</w:t>
      </w:r>
    </w:p>
    <w:p>
      <w:pPr>
        <w:pStyle w:val="Normal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 </w:t>
      </w:r>
      <w:r>
        <w:rPr>
          <w:rFonts w:cs="Times New Roman" w:ascii="Times New Roman" w:hAnsi="Times New Roman"/>
          <w:b/>
          <w:sz w:val="28"/>
          <w:szCs w:val="28"/>
        </w:rPr>
        <w:t>Materská škola Kvačany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drawing>
          <wp:anchor distT="0" distB="0" distL="114300" distR="114300" simplePos="0" relativeHeight="9" behindDoc="0" locked="0" layoutInCell="0" allowOverlap="1">
            <wp:simplePos x="0" y="0"/>
            <wp:positionH relativeFrom="margin">
              <wp:posOffset>986155</wp:posOffset>
            </wp:positionH>
            <wp:positionV relativeFrom="margin">
              <wp:posOffset>2662555</wp:posOffset>
            </wp:positionV>
            <wp:extent cx="3914775" cy="4371975"/>
            <wp:effectExtent l="0" t="0" r="0" b="0"/>
            <wp:wrapSquare wrapText="bothSides"/>
            <wp:docPr id="1" name="Obrázok 1" descr="G:\mamine veci\kids-hugging-earth-plant-tree-eco-design_1068067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ok 1" descr="G:\mamine veci\kids-hugging-earth-plant-tree-eco-design_106806704.jpg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775" cy="4371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drawing>
          <wp:anchor distT="0" distB="0" distL="0" distR="0" simplePos="0" relativeHeight="14" behindDoc="0" locked="0" layoutInCell="1" allowOverlap="1">
            <wp:simplePos x="0" y="0"/>
            <wp:positionH relativeFrom="column">
              <wp:posOffset>5348605</wp:posOffset>
            </wp:positionH>
            <wp:positionV relativeFrom="paragraph">
              <wp:posOffset>65405</wp:posOffset>
            </wp:positionV>
            <wp:extent cx="581025" cy="904875"/>
            <wp:effectExtent l="0" t="0" r="0" b="0"/>
            <wp:wrapNone/>
            <wp:docPr id="2" name="Obrázok 5" descr="C:\Users\materska skola\Desktop\mrave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ázok 5" descr="C:\Users\materska skola\Desktop\mravec.png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581025" cy="904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drawing>
          <wp:anchor distT="0" distB="0" distL="0" distR="0" simplePos="0" relativeHeight="8" behindDoc="1" locked="0" layoutInCell="1" allowOverlap="1">
            <wp:simplePos x="0" y="0"/>
            <wp:positionH relativeFrom="column">
              <wp:posOffset>4900930</wp:posOffset>
            </wp:positionH>
            <wp:positionV relativeFrom="paragraph">
              <wp:posOffset>210185</wp:posOffset>
            </wp:positionV>
            <wp:extent cx="390525" cy="654685"/>
            <wp:effectExtent l="0" t="0" r="0" b="0"/>
            <wp:wrapNone/>
            <wp:docPr id="3" name="Obrázok4" descr="C:\Users\materska skola\Desktop\mrave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ázok4" descr="C:\Users\materska skola\Desktop\mravec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654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distT="0" distB="0" distL="114300" distR="114300" simplePos="0" relativeHeight="10" behindDoc="0" locked="0" layoutInCell="0" allowOverlap="1">
            <wp:simplePos x="0" y="0"/>
            <wp:positionH relativeFrom="column">
              <wp:posOffset>1062355</wp:posOffset>
            </wp:positionH>
            <wp:positionV relativeFrom="paragraph">
              <wp:posOffset>288925</wp:posOffset>
            </wp:positionV>
            <wp:extent cx="257175" cy="425450"/>
            <wp:effectExtent l="0" t="0" r="0" b="0"/>
            <wp:wrapTopAndBottom/>
            <wp:docPr id="4" name="Obrázok 3" descr="C:\Users\materska skola\Desktop\mrave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ázok 3" descr="C:\Users\materska skola\Desktop\mravec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425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distT="0" distB="0" distL="0" distR="0" simplePos="0" relativeHeight="18" behindDoc="0" locked="0" layoutInCell="1" allowOverlap="1">
            <wp:simplePos x="0" y="0"/>
            <wp:positionH relativeFrom="column">
              <wp:posOffset>3586480</wp:posOffset>
            </wp:positionH>
            <wp:positionV relativeFrom="paragraph">
              <wp:posOffset>210185</wp:posOffset>
            </wp:positionV>
            <wp:extent cx="542925" cy="581025"/>
            <wp:effectExtent l="0" t="0" r="0" b="0"/>
            <wp:wrapNone/>
            <wp:docPr id="5" name="Obrázok3" descr="Výsledok vyhľadávania obrázkov pre dopyt motýľ kreslený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brázok3" descr="Výsledok vyhľadávania obrázkov pre dopyt motýľ kreslený 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581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  <w:drawing>
          <wp:anchor distT="0" distB="0" distL="0" distR="0" simplePos="0" relativeHeight="2" behindDoc="1" locked="0" layoutInCell="1" allowOverlap="1">
            <wp:simplePos x="0" y="0"/>
            <wp:positionH relativeFrom="column">
              <wp:posOffset>490855</wp:posOffset>
            </wp:positionH>
            <wp:positionV relativeFrom="paragraph">
              <wp:posOffset>96520</wp:posOffset>
            </wp:positionV>
            <wp:extent cx="314325" cy="523875"/>
            <wp:effectExtent l="0" t="0" r="0" b="0"/>
            <wp:wrapNone/>
            <wp:docPr id="6" name="Obrázok 2" descr="C:\Users\materska skola\Desktop\mrave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Obrázok 2" descr="C:\Users\materska skola\Desktop\mravec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523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distT="0" distB="0" distL="0" distR="0" simplePos="0" relativeHeight="3" behindDoc="1" locked="0" layoutInCell="1" allowOverlap="1">
            <wp:simplePos x="0" y="0"/>
            <wp:positionH relativeFrom="column">
              <wp:posOffset>-156845</wp:posOffset>
            </wp:positionH>
            <wp:positionV relativeFrom="paragraph">
              <wp:posOffset>229870</wp:posOffset>
            </wp:positionV>
            <wp:extent cx="400050" cy="666750"/>
            <wp:effectExtent l="0" t="0" r="0" b="0"/>
            <wp:wrapNone/>
            <wp:docPr id="7" name="Obrázok9" descr="C:\Users\materska skola\Desktop\mrave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Obrázok9" descr="C:\Users\materska skola\Desktop\mravec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666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distT="0" distB="0" distL="0" distR="0" simplePos="0" relativeHeight="5" behindDoc="1" locked="0" layoutInCell="1" allowOverlap="1">
            <wp:simplePos x="0" y="0"/>
            <wp:positionH relativeFrom="column">
              <wp:posOffset>1929130</wp:posOffset>
            </wp:positionH>
            <wp:positionV relativeFrom="paragraph">
              <wp:posOffset>277495</wp:posOffset>
            </wp:positionV>
            <wp:extent cx="295275" cy="495300"/>
            <wp:effectExtent l="0" t="0" r="0" b="0"/>
            <wp:wrapNone/>
            <wp:docPr id="8" name="Obrázok10" descr="C:\Users\materska skola\Desktop\mrave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Obrázok10" descr="C:\Users\materska skola\Desktop\mravec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495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distT="0" distB="0" distL="0" distR="0" simplePos="0" relativeHeight="7" behindDoc="1" locked="0" layoutInCell="1" allowOverlap="1">
            <wp:simplePos x="0" y="0"/>
            <wp:positionH relativeFrom="column">
              <wp:posOffset>4358005</wp:posOffset>
            </wp:positionH>
            <wp:positionV relativeFrom="paragraph">
              <wp:posOffset>306070</wp:posOffset>
            </wp:positionV>
            <wp:extent cx="352425" cy="590550"/>
            <wp:effectExtent l="0" t="0" r="0" b="0"/>
            <wp:wrapNone/>
            <wp:docPr id="9" name="Obrázok8" descr="C:\Users\materska skola\Desktop\mrave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Obrázok8" descr="C:\Users\materska skola\Desktop\mravec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590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distT="0" distB="0" distL="0" distR="0" simplePos="0" relativeHeight="11" behindDoc="0" locked="0" layoutInCell="1" allowOverlap="1">
            <wp:simplePos x="0" y="0"/>
            <wp:positionH relativeFrom="column">
              <wp:posOffset>1605280</wp:posOffset>
            </wp:positionH>
            <wp:positionV relativeFrom="paragraph">
              <wp:posOffset>142875</wp:posOffset>
            </wp:positionV>
            <wp:extent cx="190500" cy="314960"/>
            <wp:effectExtent l="0" t="0" r="0" b="0"/>
            <wp:wrapNone/>
            <wp:docPr id="10" name="Obrázok 4" descr="C:\Users\materska skola\Desktop\mrave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Obrázok 4" descr="C:\Users\materska skola\Desktop\mravec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314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distT="0" distB="0" distL="0" distR="0" simplePos="0" relativeHeight="19" behindDoc="0" locked="0" layoutInCell="1" allowOverlap="1">
            <wp:simplePos x="0" y="0"/>
            <wp:positionH relativeFrom="column">
              <wp:posOffset>2795905</wp:posOffset>
            </wp:positionH>
            <wp:positionV relativeFrom="paragraph">
              <wp:posOffset>277495</wp:posOffset>
            </wp:positionV>
            <wp:extent cx="438150" cy="457200"/>
            <wp:effectExtent l="0" t="0" r="0" b="0"/>
            <wp:wrapNone/>
            <wp:docPr id="11" name="Obrázok6" descr="Výsledok vyhľadávania obrázkov pre dopyt motýľ kreslený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Obrázok6" descr="Výsledok vyhľadávania obrázkov pre dopyt motýľ kreslený 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38150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  <w:drawing>
          <wp:anchor distT="0" distB="0" distL="0" distR="0" simplePos="0" relativeHeight="15" behindDoc="0" locked="0" layoutInCell="1" allowOverlap="1">
            <wp:simplePos x="0" y="0"/>
            <wp:positionH relativeFrom="column">
              <wp:posOffset>5072380</wp:posOffset>
            </wp:positionH>
            <wp:positionV relativeFrom="paragraph">
              <wp:posOffset>144780</wp:posOffset>
            </wp:positionV>
            <wp:extent cx="1080770" cy="1543050"/>
            <wp:effectExtent l="0" t="0" r="0" b="0"/>
            <wp:wrapNone/>
            <wp:docPr id="12" name="Obrázok11" descr="C:\Users\Milan\Desktop\strom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Obrázok11" descr="C:\Users\Milan\Desktop\strom (1)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770" cy="1543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center"/>
        <w:rPr/>
      </w:pPr>
      <w:r>
        <w:rPr/>
        <w:drawing>
          <wp:anchor distT="0" distB="0" distL="0" distR="0" simplePos="0" relativeHeight="4" behindDoc="1" locked="0" layoutInCell="1" allowOverlap="1">
            <wp:simplePos x="0" y="0"/>
            <wp:positionH relativeFrom="column">
              <wp:posOffset>2281555</wp:posOffset>
            </wp:positionH>
            <wp:positionV relativeFrom="paragraph">
              <wp:posOffset>57785</wp:posOffset>
            </wp:positionV>
            <wp:extent cx="257175" cy="438150"/>
            <wp:effectExtent l="0" t="0" r="0" b="0"/>
            <wp:wrapNone/>
            <wp:docPr id="13" name="Obrázok15" descr="C:\Users\materska skola\Desktop\mrave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Obrázok15" descr="C:\Users\materska skola\Desktop\mravec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438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distT="0" distB="0" distL="0" distR="0" simplePos="0" relativeHeight="6" behindDoc="1" locked="0" layoutInCell="1" allowOverlap="1">
            <wp:simplePos x="0" y="0"/>
            <wp:positionH relativeFrom="column">
              <wp:posOffset>3824605</wp:posOffset>
            </wp:positionH>
            <wp:positionV relativeFrom="paragraph">
              <wp:posOffset>57785</wp:posOffset>
            </wp:positionV>
            <wp:extent cx="276225" cy="466725"/>
            <wp:effectExtent l="0" t="0" r="0" b="0"/>
            <wp:wrapNone/>
            <wp:docPr id="14" name="Obrázok13" descr="C:\Users\materska skola\Desktop\mrave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Obrázok13" descr="C:\Users\materska skola\Desktop\mravec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466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distT="0" distB="0" distL="0" distR="0" simplePos="0" relativeHeight="12" behindDoc="0" locked="0" layoutInCell="1" allowOverlap="1">
            <wp:simplePos x="0" y="0"/>
            <wp:positionH relativeFrom="column">
              <wp:posOffset>2653030</wp:posOffset>
            </wp:positionH>
            <wp:positionV relativeFrom="paragraph">
              <wp:posOffset>57785</wp:posOffset>
            </wp:positionV>
            <wp:extent cx="361950" cy="609600"/>
            <wp:effectExtent l="0" t="0" r="0" b="0"/>
            <wp:wrapNone/>
            <wp:docPr id="15" name="Obrázok14" descr="C:\Users\materska skola\Desktop\mrave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Obrázok14" descr="C:\Users\materska skola\Desktop\mravec.pn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609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distT="0" distB="0" distL="0" distR="0" simplePos="0" relativeHeight="13" behindDoc="0" locked="0" layoutInCell="1" allowOverlap="1">
            <wp:simplePos x="0" y="0"/>
            <wp:positionH relativeFrom="column">
              <wp:posOffset>3234055</wp:posOffset>
            </wp:positionH>
            <wp:positionV relativeFrom="paragraph">
              <wp:posOffset>187325</wp:posOffset>
            </wp:positionV>
            <wp:extent cx="352425" cy="594360"/>
            <wp:effectExtent l="0" t="0" r="0" b="0"/>
            <wp:wrapNone/>
            <wp:docPr id="16" name="Obrázok12" descr="C:\Users\materska skola\Desktop\mrave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Obrázok12" descr="C:\Users\materska skola\Desktop\mravec.pn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594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drawing>
          <wp:anchor distT="0" distB="0" distL="0" distR="0" simplePos="0" relativeHeight="17" behindDoc="0" locked="0" layoutInCell="1" allowOverlap="1">
            <wp:simplePos x="0" y="0"/>
            <wp:positionH relativeFrom="column">
              <wp:posOffset>4853305</wp:posOffset>
            </wp:positionH>
            <wp:positionV relativeFrom="paragraph">
              <wp:posOffset>248920</wp:posOffset>
            </wp:positionV>
            <wp:extent cx="438150" cy="723900"/>
            <wp:effectExtent l="0" t="0" r="0" b="0"/>
            <wp:wrapNone/>
            <wp:docPr id="17" name="Obrázok 7" descr="Výsledok vyhľadávania obrázkov pre dopyt kvet kreslený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Obrázok 7" descr="Výsledok vyhľadávania obrázkov pre dopyt kvet kreslený pn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723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drawing>
          <wp:anchor distT="0" distB="0" distL="0" distR="0" simplePos="0" relativeHeight="20" behindDoc="0" locked="0" layoutInCell="1" allowOverlap="1">
            <wp:simplePos x="0" y="0"/>
            <wp:positionH relativeFrom="column">
              <wp:posOffset>309880</wp:posOffset>
            </wp:positionH>
            <wp:positionV relativeFrom="paragraph">
              <wp:posOffset>120650</wp:posOffset>
            </wp:positionV>
            <wp:extent cx="619125" cy="714375"/>
            <wp:effectExtent l="0" t="0" r="0" b="0"/>
            <wp:wrapNone/>
            <wp:docPr id="18" name="Obrázok17" descr="Výsledok vyhľadávania obrázkov pre dopyt žaba kreslená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Obrázok17" descr="Výsledok vyhľadávania obrázkov pre dopyt žaba kreslená pn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714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distT="0" distB="0" distL="0" distR="0" simplePos="0" relativeHeight="21" behindDoc="0" locked="0" layoutInCell="1" allowOverlap="1">
            <wp:simplePos x="0" y="0"/>
            <wp:positionH relativeFrom="column">
              <wp:posOffset>-118745</wp:posOffset>
            </wp:positionH>
            <wp:positionV relativeFrom="paragraph">
              <wp:posOffset>130175</wp:posOffset>
            </wp:positionV>
            <wp:extent cx="428625" cy="495300"/>
            <wp:effectExtent l="0" t="0" r="0" b="0"/>
            <wp:wrapNone/>
            <wp:docPr id="19" name="Obrázok 10" descr="Výsledok vyhľadávania obrázkov pre dopyt žaba kreslená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Obrázok 10" descr="Výsledok vyhľadávania obrázkov pre dopyt žaba kreslená pn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95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drawing>
          <wp:anchor distT="0" distB="0" distL="0" distR="0" simplePos="0" relativeHeight="16" behindDoc="0" locked="0" layoutInCell="1" allowOverlap="1">
            <wp:simplePos x="0" y="0"/>
            <wp:positionH relativeFrom="column">
              <wp:posOffset>5224780</wp:posOffset>
            </wp:positionH>
            <wp:positionV relativeFrom="paragraph">
              <wp:posOffset>11430</wp:posOffset>
            </wp:positionV>
            <wp:extent cx="262255" cy="304800"/>
            <wp:effectExtent l="0" t="0" r="0" b="0"/>
            <wp:wrapNone/>
            <wp:docPr id="20" name="Obrázok18" descr="Výsledok vyhľadávania obrázkov pre dopyt kvet kreslený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Obrázok18" descr="Výsledok vyhľadávania obrázkov pre dopyt kvet kreslený pn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255" cy="304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mc:AlternateContent>
          <mc:Choice Requires="wps">
            <w:drawing>
              <wp:anchor distT="635" distB="635" distL="635" distR="635" simplePos="0" relativeHeight="22" behindDoc="0" locked="0" layoutInCell="1" allowOverlap="1">
                <wp:simplePos x="0" y="0"/>
                <wp:positionH relativeFrom="column">
                  <wp:posOffset>5624830</wp:posOffset>
                </wp:positionH>
                <wp:positionV relativeFrom="paragraph">
                  <wp:posOffset>339090</wp:posOffset>
                </wp:positionV>
                <wp:extent cx="133350" cy="171450"/>
                <wp:effectExtent l="635" t="635" r="635" b="635"/>
                <wp:wrapNone/>
                <wp:docPr id="21" name="Útvar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200" cy="171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FFFFFF"/>
                          </a:solidFill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white" stroked="t" o:allowincell="f" style="position:absolute;margin-left:442.9pt;margin-top:26.7pt;width:10.45pt;height:13.45pt;mso-wrap-style:none;v-text-anchor:middle">
                <v:fill o:detectmouseclick="t" type="solid" color2="black"/>
                <v:stroke color="white" joinstyle="round" endcap="flat"/>
                <w10:wrap type="none"/>
              </v:rect>
            </w:pict>
          </mc:Fallback>
        </mc:AlternateContent>
      </w:r>
    </w:p>
    <w:tbl>
      <w:tblPr>
        <w:tblStyle w:val="Mriekatabuky"/>
        <w:tblpPr w:vertAnchor="text" w:horzAnchor="text" w:leftFromText="141" w:rightFromText="141" w:tblpX="0" w:tblpY="-65"/>
        <w:tblW w:w="9212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606"/>
        <w:gridCol w:w="4606"/>
      </w:tblGrid>
      <w:tr>
        <w:trPr/>
        <w:tc>
          <w:tcPr>
            <w:tcW w:w="460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sk-SK" w:eastAsia="en-US" w:bidi="ar-SA"/>
              </w:rPr>
              <w:t>Názov ŠkVP</w:t>
            </w:r>
          </w:p>
        </w:tc>
        <w:tc>
          <w:tcPr>
            <w:tcW w:w="460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sk-SK" w:eastAsia="en-US" w:bidi="ar-SA"/>
              </w:rPr>
              <w:t>Usilovné mravčeky na ceste za poznaním</w:t>
            </w:r>
          </w:p>
        </w:tc>
      </w:tr>
      <w:tr>
        <w:trPr/>
        <w:tc>
          <w:tcPr>
            <w:tcW w:w="460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sk-SK" w:eastAsia="en-US" w:bidi="ar-SA"/>
              </w:rPr>
              <w:t>Stupeň vzdelania</w:t>
            </w:r>
          </w:p>
        </w:tc>
        <w:tc>
          <w:tcPr>
            <w:tcW w:w="460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sk-SK" w:eastAsia="en-US" w:bidi="ar-SA"/>
              </w:rPr>
              <w:t>predprimárny</w:t>
            </w:r>
          </w:p>
        </w:tc>
      </w:tr>
      <w:tr>
        <w:trPr/>
        <w:tc>
          <w:tcPr>
            <w:tcW w:w="460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sk-SK" w:eastAsia="en-US" w:bidi="ar-SA"/>
              </w:rPr>
              <w:t>Dĺžka štúdia</w:t>
            </w:r>
          </w:p>
        </w:tc>
        <w:tc>
          <w:tcPr>
            <w:tcW w:w="460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sk-SK" w:eastAsia="en-US" w:bidi="ar-SA"/>
              </w:rPr>
              <w:t>1 – 4 roky</w:t>
            </w:r>
          </w:p>
        </w:tc>
      </w:tr>
      <w:tr>
        <w:trPr/>
        <w:tc>
          <w:tcPr>
            <w:tcW w:w="460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sk-SK" w:eastAsia="en-US" w:bidi="ar-SA"/>
              </w:rPr>
              <w:t>Forma vzdelávania</w:t>
            </w:r>
          </w:p>
        </w:tc>
        <w:tc>
          <w:tcPr>
            <w:tcW w:w="460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sk-SK" w:eastAsia="en-US" w:bidi="ar-SA"/>
              </w:rPr>
              <w:t>denná</w:t>
            </w:r>
          </w:p>
        </w:tc>
      </w:tr>
      <w:tr>
        <w:trPr/>
        <w:tc>
          <w:tcPr>
            <w:tcW w:w="460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sk-SK" w:eastAsia="en-US" w:bidi="ar-SA"/>
              </w:rPr>
              <w:t>Vyučovací jazyk</w:t>
            </w:r>
          </w:p>
        </w:tc>
        <w:tc>
          <w:tcPr>
            <w:tcW w:w="460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sk-SK" w:eastAsia="en-US" w:bidi="ar-SA"/>
              </w:rPr>
              <w:t>slovenský</w:t>
            </w:r>
          </w:p>
        </w:tc>
      </w:tr>
      <w:tr>
        <w:trPr/>
        <w:tc>
          <w:tcPr>
            <w:tcW w:w="460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sk-SK" w:eastAsia="en-US" w:bidi="ar-SA"/>
              </w:rPr>
              <w:t>Druh školy</w:t>
            </w:r>
          </w:p>
        </w:tc>
        <w:tc>
          <w:tcPr>
            <w:tcW w:w="460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sk-SK" w:eastAsia="en-US" w:bidi="ar-SA"/>
              </w:rPr>
              <w:t>štátna</w:t>
            </w:r>
          </w:p>
        </w:tc>
      </w:tr>
    </w:tbl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Predkladateľ:</w:t>
      </w:r>
    </w:p>
    <w:tbl>
      <w:tblPr>
        <w:tblStyle w:val="Mriekatabuky"/>
        <w:tblW w:w="921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606"/>
        <w:gridCol w:w="4606"/>
      </w:tblGrid>
      <w:tr>
        <w:trPr/>
        <w:tc>
          <w:tcPr>
            <w:tcW w:w="460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sk-SK" w:eastAsia="en-US" w:bidi="ar-SA"/>
              </w:rPr>
              <w:t>Názov školy</w:t>
            </w:r>
          </w:p>
        </w:tc>
        <w:tc>
          <w:tcPr>
            <w:tcW w:w="460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sk-SK" w:eastAsia="en-US" w:bidi="ar-SA"/>
              </w:rPr>
              <w:t>Materská škola, Kvačany</w:t>
            </w:r>
          </w:p>
        </w:tc>
      </w:tr>
      <w:tr>
        <w:trPr/>
        <w:tc>
          <w:tcPr>
            <w:tcW w:w="460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sk-SK" w:eastAsia="en-US" w:bidi="ar-SA"/>
              </w:rPr>
              <w:t>Adresa</w:t>
            </w:r>
          </w:p>
        </w:tc>
        <w:tc>
          <w:tcPr>
            <w:tcW w:w="460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sk-SK" w:eastAsia="en-US" w:bidi="ar-SA"/>
              </w:rPr>
              <w:t>Kvačany 232, 032 23 Lipt.Sielnica</w:t>
            </w:r>
          </w:p>
        </w:tc>
      </w:tr>
      <w:tr>
        <w:trPr/>
        <w:tc>
          <w:tcPr>
            <w:tcW w:w="460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sk-SK" w:eastAsia="en-US" w:bidi="ar-SA"/>
              </w:rPr>
              <w:t>IČO</w:t>
            </w:r>
          </w:p>
        </w:tc>
        <w:tc>
          <w:tcPr>
            <w:tcW w:w="460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sk-SK" w:eastAsia="en-US" w:bidi="ar-SA"/>
              </w:rPr>
              <w:t>00 315 346</w:t>
            </w:r>
          </w:p>
        </w:tc>
      </w:tr>
      <w:tr>
        <w:trPr/>
        <w:tc>
          <w:tcPr>
            <w:tcW w:w="460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sk-SK" w:eastAsia="en-US" w:bidi="ar-SA"/>
              </w:rPr>
              <w:t>Riaditeľka školy</w:t>
            </w:r>
          </w:p>
        </w:tc>
        <w:tc>
          <w:tcPr>
            <w:tcW w:w="460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sk-SK" w:eastAsia="en-US" w:bidi="ar-SA"/>
              </w:rPr>
              <w:t>Bc. Soňa Tkáčová</w:t>
            </w:r>
          </w:p>
        </w:tc>
      </w:tr>
      <w:tr>
        <w:trPr/>
        <w:tc>
          <w:tcPr>
            <w:tcW w:w="460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sk-SK" w:eastAsia="en-US" w:bidi="ar-SA"/>
              </w:rPr>
              <w:t>Telefón</w:t>
            </w:r>
          </w:p>
        </w:tc>
        <w:tc>
          <w:tcPr>
            <w:tcW w:w="460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sk-SK" w:eastAsia="en-US" w:bidi="ar-SA"/>
              </w:rPr>
              <w:t>044/55973 05</w:t>
            </w:r>
          </w:p>
        </w:tc>
      </w:tr>
      <w:tr>
        <w:trPr/>
        <w:tc>
          <w:tcPr>
            <w:tcW w:w="460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sk-SK" w:eastAsia="en-US" w:bidi="ar-SA"/>
              </w:rPr>
              <w:t>E mail:</w:t>
            </w:r>
          </w:p>
        </w:tc>
        <w:tc>
          <w:tcPr>
            <w:tcW w:w="460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sk-SK" w:eastAsia="en-US" w:bidi="ar-SA"/>
              </w:rPr>
              <w:t>mskvacany@ azet.sk</w:t>
            </w:r>
          </w:p>
        </w:tc>
      </w:tr>
      <w:tr>
        <w:trPr/>
        <w:tc>
          <w:tcPr>
            <w:tcW w:w="460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sk-SK" w:eastAsia="en-US" w:bidi="ar-SA"/>
              </w:rPr>
              <w:t>Web</w:t>
            </w:r>
          </w:p>
        </w:tc>
        <w:tc>
          <w:tcPr>
            <w:tcW w:w="460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sk-SK" w:eastAsia="en-US" w:bidi="ar-SA"/>
              </w:rPr>
              <w:t>http://ms-kvacany.webnode.sk/</w:t>
            </w:r>
          </w:p>
        </w:tc>
      </w:tr>
    </w:tbl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Zriaďovateľ:</w:t>
      </w:r>
    </w:p>
    <w:tbl>
      <w:tblPr>
        <w:tblStyle w:val="Mriekatabuky"/>
        <w:tblW w:w="921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606"/>
        <w:gridCol w:w="4606"/>
      </w:tblGrid>
      <w:tr>
        <w:trPr/>
        <w:tc>
          <w:tcPr>
            <w:tcW w:w="460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sk-SK" w:eastAsia="en-US" w:bidi="ar-SA"/>
              </w:rPr>
              <w:t>Názov</w:t>
            </w:r>
          </w:p>
        </w:tc>
        <w:tc>
          <w:tcPr>
            <w:tcW w:w="460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sk-SK" w:eastAsia="en-US" w:bidi="ar-SA"/>
              </w:rPr>
              <w:t>Obec Kvačany</w:t>
            </w:r>
          </w:p>
        </w:tc>
      </w:tr>
      <w:tr>
        <w:trPr/>
        <w:tc>
          <w:tcPr>
            <w:tcW w:w="460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sk-SK" w:eastAsia="en-US" w:bidi="ar-SA"/>
              </w:rPr>
              <w:t>Adresa</w:t>
            </w:r>
          </w:p>
        </w:tc>
        <w:tc>
          <w:tcPr>
            <w:tcW w:w="460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sk-SK" w:eastAsia="en-US" w:bidi="ar-SA"/>
              </w:rPr>
              <w:t>Obecný úrad Kvačany 100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sk-SK" w:eastAsia="en-US" w:bidi="ar-SA"/>
              </w:rPr>
              <w:t>032 23 Lipt. Sielnica</w:t>
            </w:r>
          </w:p>
        </w:tc>
      </w:tr>
      <w:tr>
        <w:trPr/>
        <w:tc>
          <w:tcPr>
            <w:tcW w:w="460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sk-SK" w:eastAsia="en-US" w:bidi="ar-SA"/>
              </w:rPr>
              <w:t>Starosta</w:t>
            </w:r>
          </w:p>
        </w:tc>
        <w:tc>
          <w:tcPr>
            <w:tcW w:w="460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sk-SK" w:eastAsia="en-US" w:bidi="ar-SA"/>
              </w:rPr>
              <w:t>Jozef Grúň</w:t>
            </w:r>
          </w:p>
        </w:tc>
      </w:tr>
      <w:tr>
        <w:trPr/>
        <w:tc>
          <w:tcPr>
            <w:tcW w:w="460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sk-SK" w:eastAsia="en-US" w:bidi="ar-SA"/>
              </w:rPr>
              <w:t>IČO</w:t>
            </w:r>
          </w:p>
        </w:tc>
        <w:tc>
          <w:tcPr>
            <w:tcW w:w="460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sk-SK" w:eastAsia="en-US" w:bidi="ar-SA"/>
              </w:rPr>
              <w:t>00 315 346</w:t>
            </w:r>
          </w:p>
        </w:tc>
      </w:tr>
      <w:tr>
        <w:trPr/>
        <w:tc>
          <w:tcPr>
            <w:tcW w:w="460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sk-SK" w:eastAsia="en-US" w:bidi="ar-SA"/>
              </w:rPr>
              <w:t>Telefón</w:t>
            </w:r>
          </w:p>
        </w:tc>
        <w:tc>
          <w:tcPr>
            <w:tcW w:w="460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sk-SK" w:eastAsia="en-US" w:bidi="ar-SA"/>
              </w:rPr>
              <w:t>044/55 973 01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sk-SK" w:eastAsia="en-US" w:bidi="ar-SA"/>
              </w:rPr>
              <w:t>0905/525 129</w:t>
            </w:r>
          </w:p>
        </w:tc>
      </w:tr>
      <w:tr>
        <w:trPr/>
        <w:tc>
          <w:tcPr>
            <w:tcW w:w="460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sk-SK" w:eastAsia="en-US" w:bidi="ar-SA"/>
              </w:rPr>
              <w:t>E mail</w:t>
            </w:r>
          </w:p>
        </w:tc>
        <w:tc>
          <w:tcPr>
            <w:tcW w:w="460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">
              <w:r>
                <w:rPr>
                  <w:rStyle w:val="Hyperlink"/>
                  <w:rFonts w:eastAsia="Calibri" w:cs="Times New Roman" w:ascii="Times New Roman" w:hAnsi="Times New Roman"/>
                  <w:color w:val="auto"/>
                  <w:kern w:val="0"/>
                  <w:sz w:val="24"/>
                  <w:szCs w:val="24"/>
                  <w:u w:val="none"/>
                  <w:shd w:fill="FFFFFF" w:val="clear"/>
                  <w:lang w:val="sk-SK" w:eastAsia="en-US" w:bidi="ar-SA"/>
                </w:rPr>
                <w:t>obec@kvacanylm.sk</w:t>
              </w:r>
            </w:hyperlink>
            <w:r>
              <w:rPr>
                <w:rStyle w:val="apple-converted-space"/>
                <w:rFonts w:eastAsia="Calibri" w:cs="Times New Roman" w:ascii="Times New Roman" w:hAnsi="Times New Roman"/>
                <w:kern w:val="0"/>
                <w:sz w:val="24"/>
                <w:szCs w:val="24"/>
                <w:shd w:fill="FFFFFF" w:val="clear"/>
                <w:lang w:val="sk-SK" w:eastAsia="en-US" w:bidi="ar-SA"/>
              </w:rPr>
              <w:t> 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shd w:fill="FFFFFF" w:val="clear"/>
                <w:lang w:val="sk-SK" w:eastAsia="en-US" w:bidi="ar-SA"/>
              </w:rPr>
              <w:t>                     </w:t>
            </w:r>
            <w:r>
              <w:rPr>
                <w:rStyle w:val="Strong"/>
                <w:rFonts w:eastAsia="Calibri" w:cs="Times New Roman" w:ascii="Times New Roman" w:hAnsi="Times New Roman"/>
                <w:kern w:val="0"/>
                <w:sz w:val="24"/>
                <w:szCs w:val="24"/>
                <w:shd w:fill="FFFFFF" w:val="clear"/>
                <w:lang w:val="sk-SK" w:eastAsia="en-US" w:bidi="ar-SA"/>
              </w:rPr>
              <w:t xml:space="preserve">                </w:t>
            </w:r>
            <w:hyperlink r:id="rId23">
              <w:r>
                <w:rPr>
                  <w:rStyle w:val="Hyperlink"/>
                  <w:rFonts w:eastAsia="Calibri" w:cs="Times New Roman" w:ascii="Times New Roman" w:hAnsi="Times New Roman"/>
                  <w:color w:val="auto"/>
                  <w:kern w:val="0"/>
                  <w:sz w:val="24"/>
                  <w:szCs w:val="24"/>
                  <w:u w:val="none"/>
                  <w:shd w:fill="FFFFFF" w:val="clear"/>
                  <w:lang w:val="sk-SK" w:eastAsia="en-US" w:bidi="ar-SA"/>
                </w:rPr>
                <w:t>podatelna@kvacanylm.sk</w:t>
              </w:r>
            </w:hyperlink>
          </w:p>
        </w:tc>
      </w:tr>
      <w:tr>
        <w:trPr/>
        <w:tc>
          <w:tcPr>
            <w:tcW w:w="460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sk-SK" w:eastAsia="en-US" w:bidi="ar-SA"/>
              </w:rPr>
              <w:t>Web</w:t>
            </w:r>
          </w:p>
        </w:tc>
        <w:tc>
          <w:tcPr>
            <w:tcW w:w="460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sk-SK" w:eastAsia="en-US" w:bidi="ar-SA"/>
              </w:rPr>
              <w:t>www.kvacany.sk</w:t>
            </w:r>
          </w:p>
        </w:tc>
      </w:tr>
    </w:tbl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Dátum prerokovania na pedagogickej rade.....................................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Dátum prerokovania na rade školy            ......................................</w:t>
      </w:r>
    </w:p>
    <w:p>
      <w:pPr>
        <w:pStyle w:val="Normal"/>
        <w:spacing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Kvačany 2025                                                                                  riad. MŠ Bc.Soňa Tkáčová </w:t>
      </w:r>
    </w:p>
    <w:p>
      <w:pPr>
        <w:pStyle w:val="Normal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Záznamy úprav ŠkVP</w:t>
      </w:r>
    </w:p>
    <w:tbl>
      <w:tblPr>
        <w:tblStyle w:val="Mriekatabuky"/>
        <w:tblW w:w="921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3070"/>
        <w:gridCol w:w="3071"/>
        <w:gridCol w:w="3071"/>
      </w:tblGrid>
      <w:tr>
        <w:trPr/>
        <w:tc>
          <w:tcPr>
            <w:tcW w:w="30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sk-SK" w:eastAsia="en-US" w:bidi="ar-SA"/>
              </w:rPr>
              <w:t>Platnosť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sk-SK" w:eastAsia="en-US" w:bidi="ar-SA"/>
              </w:rPr>
              <w:t>Revidovanie</w:t>
            </w:r>
          </w:p>
        </w:tc>
        <w:tc>
          <w:tcPr>
            <w:tcW w:w="307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sk-SK" w:eastAsia="en-US" w:bidi="ar-SA"/>
              </w:rPr>
              <w:t>Dátum</w:t>
            </w:r>
          </w:p>
        </w:tc>
        <w:tc>
          <w:tcPr>
            <w:tcW w:w="307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sk-SK" w:eastAsia="en-US" w:bidi="ar-SA"/>
              </w:rPr>
              <w:t>Zaznamenanie inovácie, zmeny, úpravy a pod.</w:t>
            </w:r>
          </w:p>
        </w:tc>
      </w:tr>
      <w:tr>
        <w:trPr/>
        <w:tc>
          <w:tcPr>
            <w:tcW w:w="30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07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07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30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07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07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30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07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07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30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07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07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30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07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07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30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07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07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30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07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07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30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07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07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30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07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07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30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07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07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30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07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07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30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07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07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30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07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07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30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07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07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307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07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07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b/>
          <w:sz w:val="32"/>
          <w:szCs w:val="32"/>
        </w:rPr>
      </w:pPr>
      <w:r>
        <w:rPr>
          <w:rFonts w:cs="Times New Roman" w:ascii="Times New Roman" w:hAnsi="Times New Roman"/>
          <w:b/>
          <w:sz w:val="32"/>
          <w:szCs w:val="32"/>
        </w:rPr>
        <w:t>OBSAH</w:t>
      </w:r>
    </w:p>
    <w:p>
      <w:pPr>
        <w:pStyle w:val="ListParagraph"/>
        <w:numPr>
          <w:ilvl w:val="0"/>
          <w:numId w:val="2"/>
        </w:numPr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Názov vzdelávacieho programu</w:t>
      </w:r>
    </w:p>
    <w:p>
      <w:pPr>
        <w:pStyle w:val="ListParagraph"/>
        <w:numPr>
          <w:ilvl w:val="0"/>
          <w:numId w:val="2"/>
        </w:numPr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Vymedzenie vlastných cieľov a poslania výchovy a vzdelávania</w:t>
      </w:r>
    </w:p>
    <w:p>
      <w:pPr>
        <w:pStyle w:val="ListParagraph"/>
        <w:numPr>
          <w:ilvl w:val="0"/>
          <w:numId w:val="2"/>
        </w:numPr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Stupeň vzdelania,  ktorý dosiahne  absolvovaním školského vzdelávacieho programu</w:t>
      </w:r>
    </w:p>
    <w:p>
      <w:pPr>
        <w:pStyle w:val="ListParagraph"/>
        <w:numPr>
          <w:ilvl w:val="0"/>
          <w:numId w:val="2"/>
        </w:numPr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Vlastné zameranie školy </w:t>
      </w:r>
    </w:p>
    <w:p>
      <w:pPr>
        <w:pStyle w:val="ListParagraph"/>
        <w:numPr>
          <w:ilvl w:val="0"/>
          <w:numId w:val="2"/>
        </w:numPr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Učebné osnovy </w:t>
      </w:r>
    </w:p>
    <w:p>
      <w:pPr>
        <w:pStyle w:val="ListParagraph"/>
        <w:numPr>
          <w:ilvl w:val="0"/>
          <w:numId w:val="2"/>
        </w:numPr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Spôsob a podmienky ukončovania výchovy a vzdelávania a vydávanie dokladu o získanom vzdelaní</w:t>
      </w:r>
    </w:p>
    <w:p>
      <w:pPr>
        <w:pStyle w:val="ListParagraph"/>
        <w:numPr>
          <w:ilvl w:val="0"/>
          <w:numId w:val="2"/>
        </w:numPr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Východiská plánovania</w:t>
      </w:r>
    </w:p>
    <w:p>
      <w:pPr>
        <w:pStyle w:val="ListParagraph"/>
        <w:numPr>
          <w:ilvl w:val="0"/>
          <w:numId w:val="2"/>
        </w:numPr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Dĺžka dochádzky a forma štúdia</w:t>
      </w:r>
    </w:p>
    <w:p>
      <w:pPr>
        <w:pStyle w:val="ListParagraph"/>
        <w:numPr>
          <w:ilvl w:val="0"/>
          <w:numId w:val="2"/>
        </w:numPr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Vyučovací jazyk</w:t>
      </w:r>
    </w:p>
    <w:p>
      <w:pPr>
        <w:pStyle w:val="ListParagraph"/>
        <w:numPr>
          <w:ilvl w:val="0"/>
          <w:numId w:val="2"/>
        </w:numPr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Materiálno-technické a priestorové podmienky</w:t>
      </w:r>
    </w:p>
    <w:p>
      <w:pPr>
        <w:pStyle w:val="ListParagraph"/>
        <w:numPr>
          <w:ilvl w:val="0"/>
          <w:numId w:val="2"/>
        </w:numPr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Vnútorný systém kontroly hodnotenia detí</w:t>
      </w:r>
    </w:p>
    <w:p>
      <w:pPr>
        <w:pStyle w:val="ListParagraph"/>
        <w:numPr>
          <w:ilvl w:val="0"/>
          <w:numId w:val="2"/>
        </w:numPr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Vnútorný systém kontroly a hodnotenia zamestnancov</w:t>
      </w:r>
    </w:p>
    <w:p>
      <w:pPr>
        <w:pStyle w:val="ListParagraph"/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36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36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rmal"/>
        <w:spacing w:lineRule="auto" w:line="36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rmal"/>
        <w:spacing w:lineRule="auto" w:line="36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rmal"/>
        <w:spacing w:lineRule="auto" w:line="36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36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ListParagraph"/>
        <w:spacing w:lineRule="auto" w: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ListParagraph"/>
        <w:spacing w:lineRule="auto" w: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ListParagraph"/>
        <w:numPr>
          <w:ilvl w:val="0"/>
          <w:numId w:val="3"/>
        </w:numPr>
        <w:spacing w:lineRule="auto" w: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Názov vzdelávacieho programu</w:t>
      </w:r>
    </w:p>
    <w:p>
      <w:pPr>
        <w:pStyle w:val="Normal"/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Názov školského vzdelávacieho programu MŠ Kvačany je:</w:t>
      </w:r>
    </w:p>
    <w:p>
      <w:pPr>
        <w:pStyle w:val="Normal"/>
        <w:spacing w:lineRule="auto" w:line="360"/>
        <w:jc w:val="center"/>
        <w:rPr>
          <w:rFonts w:ascii="Segoe Script" w:hAnsi="Segoe Script" w:cs="Times New Roman"/>
          <w:b/>
          <w:sz w:val="24"/>
          <w:szCs w:val="24"/>
        </w:rPr>
      </w:pPr>
      <w:r>
        <w:rPr>
          <w:rFonts w:cs="Times New Roman" w:ascii="Segoe Script" w:hAnsi="Segoe Script"/>
          <w:b/>
          <w:sz w:val="24"/>
          <w:szCs w:val="24"/>
        </w:rPr>
        <w:t>„</w:t>
      </w:r>
      <w:r>
        <w:rPr>
          <w:rFonts w:cs="Times New Roman" w:ascii="Segoe Script" w:hAnsi="Segoe Script"/>
          <w:b/>
          <w:sz w:val="24"/>
          <w:szCs w:val="24"/>
        </w:rPr>
        <w:t>Usilovné mravčeky na ceste za poznaním“</w:t>
      </w:r>
    </w:p>
    <w:p>
      <w:pPr>
        <w:pStyle w:val="Normal"/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</w:t>
      </w:r>
      <w:r>
        <w:rPr>
          <w:rFonts w:cs="Times New Roman" w:ascii="Times New Roman" w:hAnsi="Times New Roman"/>
          <w:sz w:val="24"/>
          <w:szCs w:val="24"/>
        </w:rPr>
        <w:t>Školský vzdelávací program je základným dokumentom školy, podľa ktorého sa uskutočňuje výchova a vzdelávanie v školách podľa školského zákona. Školský vzdelávací program musí byť vypracovaný v súlade s princípmi a cieľmi výchovy a vzdelávania podľa školského zákona a s príslušným štátnym vzdelávacím programom.</w:t>
      </w:r>
    </w:p>
    <w:p>
      <w:pPr>
        <w:pStyle w:val="Normal"/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ListParagraph"/>
        <w:numPr>
          <w:ilvl w:val="0"/>
          <w:numId w:val="3"/>
        </w:numPr>
        <w:spacing w:lineRule="auto" w: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 </w:t>
      </w:r>
      <w:r>
        <w:rPr>
          <w:rFonts w:cs="Times New Roman" w:ascii="Times New Roman" w:hAnsi="Times New Roman"/>
          <w:b/>
          <w:sz w:val="28"/>
          <w:szCs w:val="28"/>
        </w:rPr>
        <w:t>Vymedzenie vlastných cieľov a poslania výchovy a vzdelávania</w:t>
      </w:r>
    </w:p>
    <w:p>
      <w:pPr>
        <w:pStyle w:val="Normal"/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</w:t>
      </w:r>
      <w:r>
        <w:rPr>
          <w:rFonts w:cs="Times New Roman" w:ascii="Times New Roman" w:hAnsi="Times New Roman"/>
          <w:sz w:val="24"/>
          <w:szCs w:val="24"/>
        </w:rPr>
        <w:t>Hlavným cieľom je šťastné dieťa, ktoré sa do materskej školy teší. Dostatočne láskavým, priateľským a podnetným prostredím prebúdzať v deťoch aktívny záujem a chuť pozerať sa okolo seba, počúvať, objavovať, ale aj odvážne ukázať čo všetko vie, zvládne a dokáže.</w:t>
      </w:r>
    </w:p>
    <w:p>
      <w:pPr>
        <w:pStyle w:val="ListParagraph"/>
        <w:numPr>
          <w:ilvl w:val="0"/>
          <w:numId w:val="1"/>
        </w:numPr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rozvíjať u detí </w:t>
      </w:r>
      <w:r>
        <w:rPr>
          <w:rFonts w:cs="Times New Roman" w:ascii="Times New Roman" w:hAnsi="Times New Roman"/>
          <w:b/>
          <w:sz w:val="24"/>
          <w:szCs w:val="24"/>
        </w:rPr>
        <w:t>návyky súvisiace so zdravým životným štýlom,</w:t>
      </w:r>
      <w:r>
        <w:rPr>
          <w:rFonts w:cs="Times New Roman" w:ascii="Times New Roman" w:hAnsi="Times New Roman"/>
          <w:sz w:val="24"/>
          <w:szCs w:val="24"/>
        </w:rPr>
        <w:t xml:space="preserve"> podporovať postoje k svojmu zdraviu a zdraviu iných:</w:t>
      </w:r>
    </w:p>
    <w:p>
      <w:pPr>
        <w:pStyle w:val="ListParagraph"/>
        <w:numPr>
          <w:ilvl w:val="0"/>
          <w:numId w:val="4"/>
        </w:numPr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pestovať vlastnú zeleninu a ovocie v „Interaktívnej záhradke za poznaním“,  </w:t>
      </w:r>
    </w:p>
    <w:p>
      <w:pPr>
        <w:pStyle w:val="ListParagraph"/>
        <w:numPr>
          <w:ilvl w:val="0"/>
          <w:numId w:val="4"/>
        </w:numPr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konzumovať sezónnu zeleninu a ovocie,</w:t>
      </w:r>
    </w:p>
    <w:p>
      <w:pPr>
        <w:pStyle w:val="ListParagraph"/>
        <w:numPr>
          <w:ilvl w:val="0"/>
          <w:numId w:val="4"/>
        </w:numPr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poskytnúť dostatok príležitostí k pohybovým aktivitám v interiéri aj exteriéri</w:t>
      </w:r>
    </w:p>
    <w:p>
      <w:pPr>
        <w:pStyle w:val="ListParagraph"/>
        <w:numPr>
          <w:ilvl w:val="0"/>
          <w:numId w:val="4"/>
        </w:numPr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realizovať predplavecký výcvik a výlety do prírody</w:t>
      </w:r>
      <w:r>
        <w:rPr>
          <w:rFonts w:eastAsia="Times New Roman" w:cs="Times New Roman" w:ascii="Times New Roman" w:hAnsi="Times New Roman"/>
          <w:sz w:val="24"/>
          <w:szCs w:val="24"/>
          <w:lang w:eastAsia="sk-SK"/>
        </w:rPr>
        <w:t xml:space="preserve"> </w:t>
      </w:r>
    </w:p>
    <w:p>
      <w:pPr>
        <w:pStyle w:val="ListParagraph"/>
        <w:numPr>
          <w:ilvl w:val="0"/>
          <w:numId w:val="4"/>
        </w:numPr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sk-SK"/>
        </w:rPr>
        <w:t>dodržiavať pitný režim – uprednostniť čistú vodu pred sladenými nápojmi, upevňovať si  hygienické návyky, správnu techniku čistenia zúbkov.</w:t>
      </w:r>
    </w:p>
    <w:p>
      <w:pPr>
        <w:pStyle w:val="ListParagraph"/>
        <w:numPr>
          <w:ilvl w:val="0"/>
          <w:numId w:val="1"/>
        </w:numPr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rozvíjať u detí </w:t>
      </w:r>
      <w:r>
        <w:rPr>
          <w:rFonts w:cs="Times New Roman" w:ascii="Times New Roman" w:hAnsi="Times New Roman"/>
          <w:b/>
          <w:sz w:val="24"/>
          <w:szCs w:val="24"/>
        </w:rPr>
        <w:t>enviromentálne</w:t>
      </w:r>
      <w:r>
        <w:rPr>
          <w:rFonts w:cs="Times New Roman" w:ascii="Times New Roman" w:hAnsi="Times New Roman"/>
          <w:sz w:val="24"/>
          <w:szCs w:val="24"/>
        </w:rPr>
        <w:t xml:space="preserve"> cítenie, podporiť vzťah k prírode, pozorovať ju a  prejaviť ochranárske postoje, prebúdzať  ekologické povedomie:</w:t>
      </w:r>
    </w:p>
    <w:p>
      <w:pPr>
        <w:pStyle w:val="ListParagraph"/>
        <w:numPr>
          <w:ilvl w:val="0"/>
          <w:numId w:val="4"/>
        </w:numPr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viesť deti k triedeniu odpadu - využívať „Vláčik recykláčik“ + triediť bioodpad /kompostér/</w:t>
      </w:r>
    </w:p>
    <w:p>
      <w:pPr>
        <w:pStyle w:val="ListParagraph"/>
        <w:numPr>
          <w:ilvl w:val="0"/>
          <w:numId w:val="4"/>
        </w:numPr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viesť deti k ochrane prírody – neničiť a praktickými činnosťami sa starať o okolie MŠ</w:t>
      </w:r>
    </w:p>
    <w:p>
      <w:pPr>
        <w:pStyle w:val="ListParagraph"/>
        <w:numPr>
          <w:ilvl w:val="0"/>
          <w:numId w:val="4"/>
        </w:numPr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poznávať, zbierať a spoznať proces spracovania byliniek – „Liečivý čajík“</w:t>
      </w:r>
    </w:p>
    <w:p>
      <w:pPr>
        <w:pStyle w:val="ListParagraph"/>
        <w:numPr>
          <w:ilvl w:val="0"/>
          <w:numId w:val="4"/>
        </w:numPr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v rámci možností prejaviť ochranárske postoje ku zvieratám – kŕmenie vtáčikov v zime, praktické poznávanie spôsobu voľne žijúcich a domácich zvierat a staroslivosť o nich</w:t>
      </w:r>
    </w:p>
    <w:p>
      <w:pPr>
        <w:pStyle w:val="ListParagraph"/>
        <w:numPr>
          <w:ilvl w:val="0"/>
          <w:numId w:val="1"/>
        </w:numPr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priblížiť deťom </w:t>
      </w:r>
      <w:r>
        <w:rPr>
          <w:rFonts w:cs="Times New Roman" w:ascii="Times New Roman" w:hAnsi="Times New Roman"/>
          <w:b/>
          <w:sz w:val="24"/>
          <w:szCs w:val="24"/>
        </w:rPr>
        <w:t>ľudové zvyky a tradície,</w:t>
      </w:r>
      <w:r>
        <w:rPr>
          <w:rFonts w:cs="Times New Roman" w:ascii="Times New Roman" w:hAnsi="Times New Roman"/>
          <w:sz w:val="24"/>
          <w:szCs w:val="24"/>
        </w:rPr>
        <w:t xml:space="preserve"> podnietiť záujem detí o tradičné remeslá a utvárať pozitívny vzťah k regionálnemu folklóru:</w:t>
      </w:r>
    </w:p>
    <w:p>
      <w:pPr>
        <w:pStyle w:val="ListParagraph"/>
        <w:numPr>
          <w:ilvl w:val="0"/>
          <w:numId w:val="4"/>
        </w:numPr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realizovať pri príležitosti osláv a sviatkov aktivity, stretnutia a besedy, pri ktorých deti budú spoznávať tradície, remeslá a zvyky -  karneval, pečenie medovníčkov, pletenie korbáčov, z papiera, pečenie oplátok a pod. </w:t>
      </w:r>
    </w:p>
    <w:p>
      <w:pPr>
        <w:pStyle w:val="ListParagraph"/>
        <w:numPr>
          <w:ilvl w:val="0"/>
          <w:numId w:val="4"/>
        </w:numPr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využívať v aktivitách ľudové piesne</w:t>
      </w:r>
      <w:r>
        <w:rPr/>
        <w:t xml:space="preserve"> </w:t>
      </w:r>
    </w:p>
    <w:p>
      <w:pPr>
        <w:pStyle w:val="ListParagraph"/>
        <w:numPr>
          <w:ilvl w:val="0"/>
          <w:numId w:val="1"/>
        </w:numPr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dopravná výchova</w:t>
      </w:r>
      <w:r>
        <w:rPr>
          <w:rFonts w:cs="Times New Roman" w:ascii="Times New Roman" w:hAnsi="Times New Roman"/>
          <w:sz w:val="24"/>
          <w:szCs w:val="24"/>
        </w:rPr>
        <w:t xml:space="preserve"> – hravou formou spoznávať dopravné značky a pravidlá cestnej premávky, rozvíjať všetky zmysly, ktoré dieťa ako účastník cestnej premávky nevyhnutne potrebuje:</w:t>
      </w:r>
    </w:p>
    <w:p>
      <w:pPr>
        <w:pStyle w:val="ListParagraph"/>
        <w:spacing w:lineRule="auto" w:line="360"/>
        <w:ind w:left="6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snažiť sa rozvíjať schopnosti detí pozorovať, orientovať sa v dopravnom prostredí  a reflektovať/hodnotiť vzniknuté situácie z hľadiska bezpečnosti.</w:t>
      </w:r>
    </w:p>
    <w:p>
      <w:pPr>
        <w:pStyle w:val="ListParagraph"/>
        <w:numPr>
          <w:ilvl w:val="0"/>
          <w:numId w:val="1"/>
        </w:numPr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oboznamovať sa zo základnými úkonmi pri </w:t>
      </w:r>
      <w:r>
        <w:rPr>
          <w:rFonts w:cs="Times New Roman" w:ascii="Times New Roman" w:hAnsi="Times New Roman"/>
          <w:b/>
          <w:sz w:val="24"/>
          <w:szCs w:val="24"/>
        </w:rPr>
        <w:t>práci s počítačom, IT a spoznávať možnosti výpočtovej techniky</w:t>
      </w:r>
      <w:r>
        <w:rPr>
          <w:rFonts w:cs="Times New Roman" w:ascii="Times New Roman" w:hAnsi="Times New Roman"/>
          <w:sz w:val="24"/>
          <w:szCs w:val="24"/>
        </w:rPr>
        <w:t>, viesť deti k zmysluplnému využívaniu médií:</w:t>
      </w:r>
    </w:p>
    <w:p>
      <w:pPr>
        <w:pStyle w:val="ListParagraph"/>
        <w:numPr>
          <w:ilvl w:val="0"/>
          <w:numId w:val="4"/>
        </w:numPr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využívať interaktívne vzdelávacie programi pre MŠ, </w:t>
      </w:r>
    </w:p>
    <w:p>
      <w:pPr>
        <w:pStyle w:val="Normal"/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ListParagraph"/>
        <w:numPr>
          <w:ilvl w:val="0"/>
          <w:numId w:val="3"/>
        </w:numPr>
        <w:spacing w:lineRule="auto" w: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Stupeň vzdelania, ktorý dosiahne absolvovaním školského vzdelávacieho programu</w:t>
      </w:r>
    </w:p>
    <w:p>
      <w:pPr>
        <w:pStyle w:val="Normal"/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 xml:space="preserve">    </w:t>
      </w: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 xml:space="preserve">Predprimárne vzdelanie získa dieťa absolvovaním posledného ročníka vzdelávacieho programu odboru vzdelávania v materskej škole. Predprimárne vzdelávanie ukončuje dieťa spravidla v školskom roku, v ktorom do 31. augusta dosiahne šiesty rok veku a dosiahne školskú spôsobilosť. Predprimárne vzdelávanie môže dieťa ukončiť aj vtedy, ak nedovŕšilo šiesty rok veku, ale podľa vyjadrenia príslušného školského zariadenia výchovného poradenstva a prevencie a všeobecného lekára pre deti a dorast môže plniť povinnú školskú dochádzku (predčasné zaškolenie dieťaťa na žiadosť rodičov). </w:t>
      </w:r>
    </w:p>
    <w:p>
      <w:pPr>
        <w:pStyle w:val="Normal"/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</w:t>
      </w:r>
      <w:r>
        <w:rPr>
          <w:rFonts w:cs="Times New Roman" w:ascii="Times New Roman" w:hAnsi="Times New Roman"/>
          <w:sz w:val="24"/>
          <w:szCs w:val="24"/>
        </w:rPr>
        <w:t>Dokladom o získanom stupni vzdelania je osvedčenie o absolvovaní predprimárneho vzdelávania.</w:t>
      </w:r>
    </w:p>
    <w:p>
      <w:pPr>
        <w:pStyle w:val="ListParagraph"/>
        <w:spacing w:lineRule="auto" w:line="360"/>
        <w:ind w:left="108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ListParagraph"/>
        <w:numPr>
          <w:ilvl w:val="0"/>
          <w:numId w:val="3"/>
        </w:numPr>
        <w:spacing w:lineRule="auto" w: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Vlastné zameranie školy </w:t>
      </w:r>
    </w:p>
    <w:p>
      <w:pPr>
        <w:pStyle w:val="Normal"/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</w:t>
      </w:r>
      <w:r>
        <w:rPr>
          <w:rFonts w:cs="Times New Roman" w:ascii="Times New Roman" w:hAnsi="Times New Roman"/>
          <w:sz w:val="24"/>
          <w:szCs w:val="24"/>
        </w:rPr>
        <w:t>Cieľom zamerania MŠ je realizácia enviromentálnej výchovy na človeka, aby si uvedomil závislosť od prírody a tesnej spätosti s ňou. Prostredníctvom realizácie zážitkového učenia, experimentovania, bádania a praktických činností tak poskytujeme priestor na vytváranie základov zodpovedného vzťahu človeka k životnému prostrediu a základom enviromentálneho myslenia a cítenia.</w:t>
      </w:r>
    </w:p>
    <w:p>
      <w:pPr>
        <w:pStyle w:val="Normal"/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</w:t>
      </w:r>
      <w:r>
        <w:rPr>
          <w:rFonts w:cs="Times New Roman" w:ascii="Times New Roman" w:hAnsi="Times New Roman"/>
          <w:sz w:val="24"/>
          <w:szCs w:val="24"/>
        </w:rPr>
        <w:t xml:space="preserve">Cieľom je zabezpečiť </w:t>
      </w:r>
      <w:bookmarkStart w:id="0" w:name="_GoBack"/>
      <w:r>
        <w:rPr>
          <w:rFonts w:cs="Times New Roman" w:ascii="Times New Roman" w:hAnsi="Times New Roman"/>
          <w:sz w:val="24"/>
          <w:szCs w:val="24"/>
        </w:rPr>
        <w:t xml:space="preserve">stimulujúce </w:t>
      </w:r>
      <w:bookmarkEnd w:id="0"/>
      <w:r>
        <w:rPr>
          <w:rFonts w:cs="Times New Roman" w:ascii="Times New Roman" w:hAnsi="Times New Roman"/>
          <w:sz w:val="24"/>
          <w:szCs w:val="24"/>
        </w:rPr>
        <w:t xml:space="preserve">výchovno – vzdelávacie prostredie a zlepšiť prepojenie rodinnej výchovy s inštitucionálnou najmä v oblasti sociálno – emocionálnej. Zvyšovať odolnosť voči stresom a negatívnym vplyvom. </w:t>
      </w:r>
    </w:p>
    <w:p>
      <w:pPr>
        <w:pStyle w:val="Normal"/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</w:t>
      </w:r>
      <w:r>
        <w:rPr>
          <w:rFonts w:cs="Times New Roman" w:ascii="Times New Roman" w:hAnsi="Times New Roman"/>
          <w:sz w:val="24"/>
          <w:szCs w:val="24"/>
        </w:rPr>
        <w:t>Uprednostňujeme hru ako najprirodzenejší nástroj na sebarealizáciu detí a ako základnú výchovno – vzdelávaciu jednotku a metódu.</w:t>
      </w:r>
    </w:p>
    <w:p>
      <w:pPr>
        <w:pStyle w:val="Normal"/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</w:t>
      </w:r>
      <w:r>
        <w:rPr>
          <w:rFonts w:cs="Times New Roman" w:ascii="Times New Roman" w:hAnsi="Times New Roman"/>
          <w:sz w:val="24"/>
          <w:szCs w:val="24"/>
        </w:rPr>
        <w:t>Pripravovať deti na život v spoločnosti v súlade s individuálnymi a vekovými osobitosťami detí, rozvíjať osobnosť dieťaťa tak, aby bolo schopné adekvátne nažívať v konkrétnom sociálnom prostredí a malo vypestované vôľové  vlastnosti natoľko, aby ich vedelo využiť.</w:t>
      </w:r>
    </w:p>
    <w:p>
      <w:pPr>
        <w:pStyle w:val="Normal"/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ListParagraph"/>
        <w:numPr>
          <w:ilvl w:val="0"/>
          <w:numId w:val="3"/>
        </w:numPr>
        <w:spacing w:lineRule="auto" w: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Učebné osnovy </w:t>
      </w:r>
    </w:p>
    <w:p>
      <w:pPr>
        <w:pStyle w:val="Normal"/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 xml:space="preserve">     </w:t>
      </w:r>
      <w:r>
        <w:rPr>
          <w:rFonts w:cs="Times New Roman" w:ascii="Times New Roman" w:hAnsi="Times New Roman"/>
          <w:sz w:val="24"/>
          <w:szCs w:val="24"/>
        </w:rPr>
        <w:t>Učebnými osnovami našej materskej školy sú výkonové štandardy jednotlivých vzdelávacích oblastí Štátneho vzdelávacieho programu.</w:t>
      </w:r>
    </w:p>
    <w:p>
      <w:pPr>
        <w:pStyle w:val="Normal"/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</w:t>
      </w:r>
      <w:r>
        <w:rPr>
          <w:rFonts w:cs="Times New Roman" w:ascii="Times New Roman" w:hAnsi="Times New Roman"/>
          <w:sz w:val="24"/>
          <w:szCs w:val="24"/>
        </w:rPr>
        <w:t>Učebné osnovy sú rozdelené do štyroch obsahových celkov, ktoré sú ďalej rozpracované do týždenných  tém. Vychádzali sme s tradícií materskej školy, ročných období a súčasných trendov v pedagogike.</w:t>
      </w:r>
    </w:p>
    <w:p>
      <w:pPr>
        <w:pStyle w:val="Normal"/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ListParagraph"/>
        <w:numPr>
          <w:ilvl w:val="0"/>
          <w:numId w:val="3"/>
        </w:numPr>
        <w:spacing w:lineRule="auto" w: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Spôsob a podmienky ukončovania výchovy a vzdelávania a vydávanie dokladu o získanom vzdelaní</w:t>
      </w:r>
    </w:p>
    <w:p>
      <w:pPr>
        <w:pStyle w:val="Normal"/>
        <w:spacing w:lineRule="auto" w:line="360"/>
        <w:ind w:firstLine="360"/>
        <w:jc w:val="both"/>
        <w:rPr>
          <w:rFonts w:ascii="Times New Roman" w:hAnsi="Times New Roman" w:cs="Times New Roman"/>
          <w:color w:themeColor="text1" w:val="000000"/>
          <w:sz w:val="24"/>
          <w:szCs w:val="24"/>
        </w:rPr>
      </w:pPr>
      <w:r>
        <w:rPr>
          <w:rFonts w:cs="Times New Roman" w:ascii="Times New Roman" w:hAnsi="Times New Roman"/>
          <w:color w:themeColor="text1" w:val="000000"/>
          <w:sz w:val="24"/>
          <w:szCs w:val="24"/>
        </w:rPr>
        <w:t xml:space="preserve">Predprimárne vzdelanie získa dieťa absolvovaním posledného ročníka vzdelávacieho programu odboru vzdelávania v materskej škole. Legislatíva súvisiaca s činnosťou a prevádzkou materských škôl taxatívne neurčuje spôsob ukončovania výchovy a vzdelávania detí v materskej škole. Predprimárne vzdelávanie ukončuje dieťa spravidla v školskom roku, v ktorom do 31. augusta dosiahne šiesty rok veku a dosiahne školskú spôsobilosť. Predškolské vzdelávanie môže dieťa ukončiť aj vtedy, ak nedovŕšilo šiesty rok veku, ale podľa vyjadrenia príslušného zariadenia výchovného poradenstva a prevencie a všeobecného lekára pre deti a dorast môže plniť povinnú školskú dochádzku (predčasné zaškolenie dieťaťa na žiadosť rodičov). Dokladom o získanom stupni vzdelania je </w:t>
      </w:r>
      <w:r>
        <w:rPr>
          <w:rFonts w:cs="Times New Roman" w:ascii="Times New Roman" w:hAnsi="Times New Roman"/>
          <w:b/>
          <w:color w:themeColor="text1" w:val="000000"/>
          <w:sz w:val="24"/>
          <w:szCs w:val="24"/>
        </w:rPr>
        <w:t>osvedčenie o absolvovaní predprimárneho vzdelávania,</w:t>
      </w:r>
      <w:r>
        <w:rPr>
          <w:rFonts w:cs="Times New Roman" w:ascii="Times New Roman" w:hAnsi="Times New Roman"/>
          <w:color w:themeColor="text1" w:val="000000"/>
          <w:sz w:val="24"/>
          <w:szCs w:val="24"/>
        </w:rPr>
        <w:t xml:space="preserve"> ktoré vydáva materská škola na základe písomnej žiadosti zákonného zástupcu. Osvedčenie o absolvovaní predprimárneho vzdelávania sa v materskej škole vydáva na konci školského roku s dátumom 30. jún príslušného kalendárneho roku na žiadosť zákonného zástupcu. V prípade, ak tento dátum vyjde napr. na sobotu alebo nedeľu, vydáva sa s dátumom, ktorý vyjde na posledný pracovný deň pred týmto dátumom.</w:t>
      </w:r>
    </w:p>
    <w:p>
      <w:pPr>
        <w:pStyle w:val="Normal"/>
        <w:spacing w:lineRule="auto" w:line="360"/>
        <w:ind w:firstLine="360"/>
        <w:jc w:val="both"/>
        <w:rPr>
          <w:rFonts w:ascii="Times New Roman" w:hAnsi="Times New Roman" w:cs="Times New Roman"/>
          <w:i/>
          <w:iCs/>
          <w:color w:themeColor="text1" w:val="000000"/>
          <w:sz w:val="24"/>
          <w:szCs w:val="24"/>
        </w:rPr>
      </w:pPr>
      <w:r>
        <w:rPr>
          <w:rFonts w:cs="Times New Roman" w:ascii="Times New Roman" w:hAnsi="Times New Roman"/>
          <w:color w:themeColor="text1" w:val="000000"/>
          <w:sz w:val="24"/>
          <w:szCs w:val="24"/>
        </w:rPr>
        <w:t>Deťom, o ktorých materská škola vie, že budú mať odložené plnenie povinnej školskej dochádzky a budú navštevovať materskú školu aj v nasledujúcom školskom roku, sa osvedčenie o absolvovaní predprimárneho vzdelávania nevydáva.Osvedčenie o absolvovaní predprimárneho vzdelania vydá materská škola, ktorá je zaradená do siete škôl a školských zariadení (v súlade so zákonom č. 596/2003 Z. z. o štátnej správe v školstve a školskej samospráve...). na záver školského roka v posledný deň školského vyučovania z príležitosti „Rozlúčky s predškolákmi“.</w:t>
      </w:r>
    </w:p>
    <w:p>
      <w:pPr>
        <w:pStyle w:val="Normal"/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     </w:t>
      </w:r>
      <w:r>
        <w:rPr>
          <w:rFonts w:cs="Times New Roman" w:ascii="Times New Roman" w:hAnsi="Times New Roman"/>
          <w:b/>
          <w:sz w:val="28"/>
          <w:szCs w:val="28"/>
        </w:rPr>
        <w:t>7. Východiská plánovania</w:t>
      </w:r>
    </w:p>
    <w:p>
      <w:pPr>
        <w:pStyle w:val="Normal"/>
        <w:spacing w:lineRule="auto" w:line="360" w:before="240" w:after="0"/>
        <w:ind w:firstLine="360"/>
        <w:jc w:val="both"/>
        <w:rPr>
          <w:rFonts w:cs="" w:asciiTheme="majorBidi" w:cstheme="majorBidi" w:hAnsiTheme="majorBidi"/>
          <w:color w:val="000000"/>
          <w:w w:val="100"/>
          <w:sz w:val="24"/>
          <w:szCs w:val="24"/>
          <w:lang w:bidi="he-IL"/>
        </w:rPr>
      </w:pPr>
      <w:r>
        <w:rPr>
          <w:rFonts w:cs="" w:asciiTheme="majorBidi" w:cstheme="majorBidi" w:hAnsiTheme="majorBidi"/>
          <w:color w:val="000000"/>
          <w:w w:val="100"/>
          <w:sz w:val="24"/>
          <w:szCs w:val="24"/>
          <w:lang w:bidi="he-IL"/>
        </w:rPr>
        <w:t xml:space="preserve"> </w:t>
      </w:r>
      <w:r>
        <w:rPr>
          <w:rFonts w:cs="" w:asciiTheme="majorBidi" w:cstheme="majorBidi" w:hAnsiTheme="majorBidi"/>
          <w:color w:val="000000"/>
          <w:w w:val="100"/>
          <w:sz w:val="24"/>
          <w:szCs w:val="24"/>
          <w:lang w:bidi="he-IL"/>
        </w:rPr>
        <w:t>V materskej  škole sa harmonogram denných aktivít a cielené vzdelávacie aktivity plánujú a realizujú tak, aby sa pokryl celý vzdelávací obsah Štátneho vzdelávacieho programu. Pri postupnom dosahovaní vzdelávacích štandardov zo Štátneho vzdelávacieho programu pre materské školy sa zohľadňuje aktuálna úroveň spôsobilostí detí v danej triede materskej školy.</w:t>
      </w:r>
    </w:p>
    <w:p>
      <w:pPr>
        <w:pStyle w:val="Normal"/>
        <w:spacing w:lineRule="auto" w:line="360" w:before="240" w:after="200"/>
        <w:ind w:firstLine="360"/>
        <w:jc w:val="both"/>
        <w:rPr>
          <w:rFonts w:cs="" w:asciiTheme="majorBidi" w:cstheme="majorBidi" w:hAnsiTheme="majorBidi"/>
          <w:w w:val="100"/>
          <w:sz w:val="24"/>
          <w:szCs w:val="24"/>
          <w:lang w:bidi="he-IL"/>
        </w:rPr>
      </w:pPr>
      <w:r>
        <w:rPr>
          <w:rFonts w:cs="" w:asciiTheme="majorBidi" w:cstheme="majorBidi" w:hAnsiTheme="majorBidi"/>
          <w:sz w:val="24"/>
          <w:szCs w:val="24"/>
        </w:rPr>
        <w:t xml:space="preserve">Výchovno-vzdelávacia činnosť je plánovaná týždenne vzhľadom na špecifiká práce v materskej škole s celodennou formou výchovy a vzdelávania, kedy predprimárne vzdelávanie zabezpečujú striedavo na zmeny dve učiteľky. Plán výchovno-vzdelávacej činnosti je chápaný ako súčasť prípravy na výchovno-vzdelávaciu činnosť, ktorého forma a spôsob vedenia sú schválené pedagogickou radou. </w:t>
      </w:r>
    </w:p>
    <w:p>
      <w:pPr>
        <w:pStyle w:val="Normal"/>
        <w:spacing w:lineRule="auto" w:line="360"/>
        <w:ind w:firstLine="360"/>
        <w:jc w:val="both"/>
        <w:rPr>
          <w:rFonts w:cs="" w:asciiTheme="majorBidi" w:cstheme="majorBidi" w:hAnsiTheme="majorBidi"/>
          <w:w w:val="100"/>
          <w:sz w:val="24"/>
          <w:szCs w:val="24"/>
          <w:lang w:bidi="he-IL"/>
        </w:rPr>
      </w:pPr>
      <w:r>
        <w:rPr>
          <w:rFonts w:cs="" w:asciiTheme="majorBidi" w:cstheme="majorBidi" w:hAnsiTheme="majorBidi"/>
          <w:sz w:val="24"/>
          <w:szCs w:val="24"/>
        </w:rPr>
        <w:t xml:space="preserve">Plán vypracúva učiteľka rannej zmeny pre svoju priamu výchovno-vzdelávaciu činnosť v konkrétnej triede.  Učiteľky vzájomne spolupracujú v rámci prípravy a plánovania svojej výchovno-vzdelávacej činnosti v konkrétnej triede, ale i v celej materskej škole. Je úplne na ich vzájomnej súčinnosti a dohode, koľkokrát maximálne za týždeň zaradia jednotlivé vzdelávacie oblasti, ako a kedy ich budú realizovať. Učiteľky vychádzajú pri plánovaní z poznania aktuálnej úrovne detí. Rešpektujú ich záujmy, potreby, prirodzenú variabilitu a sociokultúrne prostredie. </w:t>
      </w:r>
    </w:p>
    <w:p>
      <w:pPr>
        <w:pStyle w:val="Normal"/>
        <w:spacing w:lineRule="auto" w:line="360"/>
        <w:ind w:firstLine="360"/>
        <w:jc w:val="both"/>
        <w:rPr>
          <w:rFonts w:cs="" w:asciiTheme="majorBidi" w:cstheme="majorBidi" w:hAnsiTheme="majorBidi"/>
          <w:w w:val="100"/>
          <w:sz w:val="24"/>
          <w:szCs w:val="24"/>
          <w:lang w:bidi="he-IL"/>
        </w:rPr>
      </w:pPr>
      <w:r>
        <w:rPr>
          <w:rFonts w:cs="" w:asciiTheme="majorBidi" w:cstheme="majorBidi" w:hAnsiTheme="majorBidi"/>
          <w:sz w:val="24"/>
          <w:szCs w:val="24"/>
        </w:rPr>
        <w:t xml:space="preserve">Súčasťou plánovania je zohľadnenie vymedzených tém. Voľba konkrétnej témy a dĺžka jej časového úseku je na uvážení a dohode učiteliek danej triedy. Témy predstavujú ucelenú opornú konštrukciu pre štruktúrovanie konkrétneho obsahu vzdelávania, ale zohľadňujú i zmysluplný situačný kontext aktivít s deťmi v rámci určitého obdobia, ako i tradíciu a podmienky našej materskej školy. Jednotlivé témy je možné podľa potreby učiteliek danej triedy zlúčiť, prípadne akokoľvek zmeniť ich poradie z dôvodu materiálno-technického zabezpečenia plánovaných aktivít v triedach, či aktuálnej situácie v konkrétnej triede. Učiteľka plánuje systematickým spôsobom od menej náročných požiadaviek na dieťa k náročnejším a rešpektuje metodické postupy špecifické pre jednotlivé vzdelávacie oblasti. Pri plánovaní výchovno-vzdelávacej činnosti môžu učiteľky využívať i adaptácie výkonových štandardov jednotlivých vzdelávacích oblastí. Výkonové štandardy môžu v rámci plánovaných aktivít deliť, ale i integrovať do logických celkov podľa vlastného uváženia zohľadňujúc rozvojové možnosti detí v konkrétnej triede. </w:t>
      </w:r>
    </w:p>
    <w:p>
      <w:pPr>
        <w:pStyle w:val="Normal"/>
        <w:spacing w:lineRule="auto" w:line="360"/>
        <w:ind w:firstLine="360"/>
        <w:jc w:val="both"/>
        <w:rPr>
          <w:rFonts w:cs="" w:asciiTheme="majorBidi" w:cstheme="majorBidi" w:hAnsiTheme="majorBidi"/>
          <w:w w:val="100"/>
          <w:sz w:val="24"/>
          <w:szCs w:val="24"/>
          <w:lang w:bidi="he-IL"/>
        </w:rPr>
      </w:pPr>
      <w:r>
        <w:rPr>
          <w:rFonts w:cs="" w:asciiTheme="majorBidi" w:cstheme="majorBidi" w:hAnsiTheme="majorBidi"/>
          <w:sz w:val="24"/>
          <w:szCs w:val="24"/>
        </w:rPr>
        <w:t>Učiteľka zohľadňujúc aktuálnu situáciu sama autonómne rozhoduje na základe charakteru formulácie konkrétneho výkonového štandardu, či k jeho dosiahnutiu smeruje priebežne vytvorením príležitostí prostredníctvom prirodzených každodenných socializačných situácií v rámci dlhšieho časového obdobia, alebo ich je potrebné plánovať a realizovať v konkrétnych cielených vzdelávacích aktivitách. Výkonové štandardy, ku ktorým (z dôvodu ich priebežného dosahovania v prirodzených každodenných situáciách) nie je možné zámerne plánovať cielené vzdelávacie aktivity nemusia byť zaznamenané v plánoch</w:t>
      </w:r>
    </w:p>
    <w:p>
      <w:pPr>
        <w:pStyle w:val="Normal"/>
        <w:spacing w:lineRule="auto" w:line="360"/>
        <w:ind w:firstLine="360"/>
        <w:jc w:val="both"/>
        <w:rPr>
          <w:rFonts w:cs="" w:asciiTheme="majorBidi" w:cstheme="majorBidi" w:hAnsiTheme="majorBidi"/>
          <w:w w:val="100"/>
          <w:sz w:val="24"/>
          <w:szCs w:val="24"/>
          <w:lang w:bidi="he-IL"/>
        </w:rPr>
      </w:pPr>
      <w:r>
        <w:rPr>
          <w:rFonts w:cs="" w:asciiTheme="majorBidi" w:cstheme="majorBidi" w:hAnsiTheme="majorBidi"/>
          <w:sz w:val="24"/>
          <w:szCs w:val="24"/>
        </w:rPr>
        <w:t xml:space="preserve">Na základe hlbšieho poznania charakteristiky jednotlivých vzdelávacích oblastí, ako aj poznania vzdelávacích štandardov, si učiteľka samostatne volí vhodné metódy, stratégie, formy a prostriedky pre svoju plánovanú výchovno-vzdelávaciu činnosť. Ich výber a uplatňovanie je právom každého pedagogického zamestnanca. </w:t>
      </w:r>
    </w:p>
    <w:p>
      <w:pPr>
        <w:pStyle w:val="Normal"/>
        <w:spacing w:lineRule="auto" w:line="360"/>
        <w:ind w:firstLine="360"/>
        <w:jc w:val="both"/>
        <w:rPr>
          <w:rFonts w:cs="" w:asciiTheme="majorBidi" w:cstheme="majorBidi" w:hAnsiTheme="majorBidi"/>
          <w:w w:val="100"/>
          <w:sz w:val="24"/>
          <w:szCs w:val="24"/>
          <w:lang w:bidi="he-IL"/>
        </w:rPr>
      </w:pPr>
      <w:r>
        <w:rPr>
          <w:rFonts w:cs="" w:asciiTheme="majorBidi" w:cstheme="majorBidi" w:hAnsiTheme="majorBidi"/>
          <w:sz w:val="24"/>
          <w:szCs w:val="24"/>
        </w:rPr>
        <w:t>V čase školských prázdnin, kedy je počet detí nižší, sa výchovno-vzdelávacia činnosť plánuje a realizuje v hrách a hrových činnostiach.</w:t>
      </w:r>
    </w:p>
    <w:p>
      <w:pPr>
        <w:pStyle w:val="Normal"/>
        <w:spacing w:lineRule="auto" w:line="360"/>
        <w:ind w:firstLine="360"/>
        <w:jc w:val="both"/>
        <w:rPr>
          <w:rFonts w:cs="" w:asciiTheme="majorBidi" w:cstheme="majorBidi" w:hAnsiTheme="majorBidi"/>
          <w:w w:val="100"/>
          <w:sz w:val="24"/>
          <w:szCs w:val="24"/>
          <w:lang w:bidi="he-IL"/>
        </w:rPr>
      </w:pPr>
      <w:r>
        <w:rPr>
          <w:rFonts w:cs="" w:asciiTheme="majorBidi" w:cstheme="majorBidi" w:hAnsiTheme="majorBidi"/>
          <w:w w:val="100"/>
          <w:sz w:val="24"/>
          <w:szCs w:val="24"/>
          <w:lang w:bidi="he-IL"/>
        </w:rPr>
        <w:t>Pri plánovaní a zapisovaní do triednej knihy postupujú učiteľky v zmysle uznesenia Pedagogickej rady.</w:t>
      </w:r>
    </w:p>
    <w:p>
      <w:pPr>
        <w:pStyle w:val="Normal"/>
        <w:spacing w:lineRule="auto" w: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    </w:t>
      </w:r>
      <w:r>
        <w:rPr>
          <w:rFonts w:cs="Times New Roman" w:ascii="Times New Roman" w:hAnsi="Times New Roman"/>
          <w:b/>
          <w:sz w:val="28"/>
          <w:szCs w:val="28"/>
        </w:rPr>
        <w:t>8. Dĺžka dochádzky a forma štúdia</w:t>
      </w:r>
    </w:p>
    <w:p>
      <w:pPr>
        <w:pStyle w:val="Normal"/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</w:t>
      </w:r>
      <w:r>
        <w:rPr>
          <w:rFonts w:cs="Times New Roman" w:ascii="Times New Roman" w:hAnsi="Times New Roman"/>
          <w:sz w:val="24"/>
          <w:szCs w:val="24"/>
        </w:rPr>
        <w:t>Dĺžka štúdia resp. dochádzky je limitovaná záujmom zákonného zástupcu dieťaťa. Spravidla je niekoľkoročná (1 – 4 roky). Výchova a vzdelávanie sa v našej materskej škole uskutočňuje celodennou, ale i poldennou formou v rozsahu štyroch príp. piatich hodín denne v dopoludňajšom čase.</w:t>
      </w:r>
    </w:p>
    <w:p>
      <w:pPr>
        <w:pStyle w:val="Normal"/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36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9. Vyučovací jazyk</w:t>
      </w:r>
    </w:p>
    <w:p>
      <w:pPr>
        <w:pStyle w:val="Normal"/>
        <w:spacing w:lineRule="auto" w:line="360"/>
        <w:jc w:val="both"/>
        <w:rPr/>
      </w:pPr>
      <w:r>
        <w:rPr>
          <w:rFonts w:cs="Times New Roman" w:ascii="Times New Roman" w:hAnsi="Times New Roman"/>
        </w:rPr>
        <w:t xml:space="preserve">     </w:t>
      </w:r>
      <w:r>
        <w:rPr>
          <w:rFonts w:cs="Times New Roman" w:ascii="Times New Roman" w:hAnsi="Times New Roman"/>
        </w:rPr>
        <w:t>Vyučovacím jazykom, v ktorom sa realizuje predprimárne vzdelávanie v našej materskej škole, je štátny jazyk na území Slovenskej republiky – slovenský jazyk.</w:t>
      </w:r>
      <w:r>
        <w:rPr/>
        <w:t xml:space="preserve"> </w:t>
      </w:r>
    </w:p>
    <w:p>
      <w:pPr>
        <w:pStyle w:val="Normal"/>
        <w:spacing w:lineRule="auto" w:line="36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10. Materiálno-technické a priestorové podmienky</w:t>
      </w:r>
    </w:p>
    <w:p>
      <w:pPr>
        <w:pStyle w:val="Normal"/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 xml:space="preserve">     </w:t>
      </w:r>
      <w:r>
        <w:rPr>
          <w:rFonts w:cs="Times New Roman" w:ascii="Times New Roman" w:hAnsi="Times New Roman"/>
          <w:sz w:val="24"/>
          <w:szCs w:val="24"/>
        </w:rPr>
        <w:t xml:space="preserve">Materská škola v Kvačanoch má dve dostatočne priestranné, esteticky upravené a hygienicky vyhovujúce triedy. Materská škola je vybavená stolmi, stoličkami, detským nábytkom, deti majú k dispozícii rôzne druhy hračiek, kníh, učebných pomôcok, telovýchovné náradie a náčinie, hudobné nástroje a spoločenské hry, ktoré sú priebežne inovované. Každá trieda je dostatočne vybavená spotrebným materiálom na výtvarné, grafomotorické, pracovné činnosti. </w:t>
      </w:r>
    </w:p>
    <w:p>
      <w:pPr>
        <w:pStyle w:val="Normal"/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</w:t>
      </w:r>
      <w:r>
        <w:rPr>
          <w:rFonts w:cs="Times New Roman" w:ascii="Times New Roman" w:hAnsi="Times New Roman"/>
          <w:sz w:val="24"/>
          <w:szCs w:val="24"/>
        </w:rPr>
        <w:t>Triedy sú vybavené počítačom, interaktívnou tabuľou a tlačiarňou, čo nám umožňuje rozvíjať digitálnu gramotnosť detí. Prepojenie na internet umožňuje učiteľkám pracovať interaktívne a tak využívať väčšie množstvo pomôcok. Deti pracujú s edukačnými programami s rôznorodým zameraním. Výsledky svojej činnosti si následne môžu vytlačiť na tlačiarni. Podnetnosť prostredia na rozvíjanie predčitateľskej gramotnosti tvoria pomôcky ako je abeceda, čísla, geometrické tvary, farby s grafickým popisom.</w:t>
      </w:r>
    </w:p>
    <w:p>
      <w:pPr>
        <w:pStyle w:val="Normal"/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</w:t>
      </w:r>
      <w:r>
        <w:rPr>
          <w:rFonts w:cs="Times New Roman" w:ascii="Times New Roman" w:hAnsi="Times New Roman"/>
          <w:sz w:val="24"/>
          <w:szCs w:val="24"/>
        </w:rPr>
        <w:t>Rozloženie pomôcok je účelové, deti majú dostatok priestoru na hru, cvičenie, spánok a vzdelávacie činnosti. Počas hier majú ponechaný dostatočný priestor na vlastnú realizáciu, komunikáciu s inými deťmi, voľný prístup k hračkám. Učia sa dodržiavať vopred stanovené pravidlá na udržiavanie poriadku v hracích kútikoch a odkladanie pomôcok. Deti sa podieľajú na úprave prostredie svojimi výtvormi, triedy majú priestor pre prezentáciu detských výtvorov.</w:t>
      </w:r>
    </w:p>
    <w:p>
      <w:pPr>
        <w:pStyle w:val="Normal"/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</w:t>
      </w:r>
      <w:r>
        <w:rPr>
          <w:rFonts w:cs="Times New Roman" w:ascii="Times New Roman" w:hAnsi="Times New Roman"/>
          <w:sz w:val="24"/>
          <w:szCs w:val="24"/>
        </w:rPr>
        <w:t xml:space="preserve">Areál školskej záhrady je cca 1600 m2, vybavený preliezkami, hojdačkami, piekoviskom, dvomi drevenými altánkami proti slnku. V budúcnosti je potrebná obnova školského ihriska novými certifikovanými preliezkami a opravou striech na prístreškoch. Podľa potreby zabezpečujeme opravy a údržbu vonkajšieho zariadenia v súlade s bezpečnostnými a hygienickými kritériami /doplnenie, alebo výmena piesku, oprava pieskoviska, nové plachty, nové nátery, pravidelné kosenie atď. Areál dvora je oplotený. Betónová časť pred MŠ je vynovená namaľovanými skackami a cestičkami. </w:t>
      </w:r>
    </w:p>
    <w:p>
      <w:pPr>
        <w:pStyle w:val="Normal"/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36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11. Vnútorný systém kontroly hodnotenia detí</w:t>
      </w:r>
    </w:p>
    <w:p>
      <w:pPr>
        <w:pStyle w:val="Normal"/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 xml:space="preserve">     </w:t>
      </w:r>
      <w:r>
        <w:rPr>
          <w:rFonts w:cs="Times New Roman" w:ascii="Times New Roman" w:hAnsi="Times New Roman"/>
          <w:sz w:val="24"/>
          <w:szCs w:val="24"/>
        </w:rPr>
        <w:t xml:space="preserve">Cieľom hodnotenia detí je poskytnúť spätnú väzbu učiteľkám a rodičom o tom, na akej vývinovej úrovni sa dieťa nachádza  a aké sú ďalšie možnosti jeho napredovania. Rovnako dôležitá je aj spätná väzba, poskytnutá deťom, súvisiaca s budovaním základov sebahodnotenia a sebapoznávania. </w:t>
      </w:r>
    </w:p>
    <w:p>
      <w:pPr>
        <w:pStyle w:val="Normal"/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</w:t>
      </w:r>
      <w:r>
        <w:rPr>
          <w:rFonts w:cs="Times New Roman" w:ascii="Times New Roman" w:hAnsi="Times New Roman"/>
          <w:sz w:val="24"/>
          <w:szCs w:val="24"/>
        </w:rPr>
        <w:t>Hodnotenie uskutočňujeme formou pedagogickej diagnostiky. Zahŕňa procesy a aktivity, ktoré napomáhajú získať o dieťati komplexné poznatky. Každé dieťa má portfólio svojich prác a výrobkov, ktoré je súčasťou diagnostického procesu. Písomnú diagnostiku detí vykonávajú učiteľky tri – krát v roku v diagnostických hárkoch a na základe toho spracujú polročne hodnotenie výchovno – vzdelávacích výsledkov.</w:t>
      </w:r>
    </w:p>
    <w:p>
      <w:pPr>
        <w:pStyle w:val="Normal"/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</w:t>
      </w:r>
      <w:r>
        <w:rPr>
          <w:rFonts w:cs="Times New Roman" w:ascii="Times New Roman" w:hAnsi="Times New Roman"/>
          <w:sz w:val="24"/>
          <w:szCs w:val="24"/>
        </w:rPr>
        <w:t>Pri hodnotení detí spolupracujeme s CPPPaP v odbornom poradenstve v oblasti logopédie a pripravenosti na vstup do prvého ročníka ZŠ.</w:t>
      </w:r>
    </w:p>
    <w:p>
      <w:pPr>
        <w:pStyle w:val="Normal"/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36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12.  Vnútorný systém kontroly a hodnotenia zamestnancov</w:t>
      </w:r>
      <w:r>
        <w:rPr>
          <w:sz w:val="28"/>
          <w:szCs w:val="28"/>
        </w:rPr>
        <w:t xml:space="preserve"> </w:t>
      </w:r>
    </w:p>
    <w:p>
      <w:pPr>
        <w:pStyle w:val="Normal"/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</w:t>
      </w:r>
      <w:r>
        <w:rPr>
          <w:rFonts w:cs="Times New Roman" w:ascii="Times New Roman" w:hAnsi="Times New Roman"/>
          <w:sz w:val="24"/>
          <w:szCs w:val="24"/>
        </w:rPr>
        <w:t xml:space="preserve">V našej materskej škole sa snažíme vytvoriť prostredie priaznivej pracovnej klímy s dôrazom na vzájomnú dôveru, úctu, zodpovednosť a pracovné nasadenie v stabilnom kolektíve, ktorý udržiava dobré medziľudské vzťahy s rodičmi a spolupracuje s partnermi školy. </w:t>
      </w:r>
    </w:p>
    <w:p>
      <w:pPr>
        <w:pStyle w:val="Normal"/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</w:t>
      </w:r>
      <w:r>
        <w:rPr>
          <w:rFonts w:cs="Times New Roman" w:ascii="Times New Roman" w:hAnsi="Times New Roman"/>
          <w:sz w:val="24"/>
          <w:szCs w:val="24"/>
        </w:rPr>
        <w:t xml:space="preserve">Hodnotenie sa vykonáva u pedagogických zamestnancov formou cielených hospitácií, hodnotením ich aktivity a vedenia pedagogickej dokumentácie, dodržiavania všeobecne záväzných právnych predpisov na pracovisku, efektívnosti a tvorivosti v edukačnom procese, plnenia zverených úloh, osobného vplyvu na pracovisku a ďalšie. </w:t>
      </w:r>
    </w:p>
    <w:p>
      <w:pPr>
        <w:pStyle w:val="Normal"/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U prevádzkových zamestnancov sa hodnotia výsledky a kvalita práce, svedomitosť pri plnení pracovných povinností, sťažené podmienky (sneh, tráva, veľké upratovanie a pod.), racionálne využívanie pracovného času, osobný vplyv na pracovisku a ďalšie. O hodnotení zamestnancov sa vedú písomné záznamy.</w:t>
      </w:r>
    </w:p>
    <w:p>
      <w:pPr>
        <w:pStyle w:val="Normal"/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36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Title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Témy týždňa v MŠ</w:t>
      </w:r>
    </w:p>
    <w:p>
      <w:pPr>
        <w:pStyle w:val="Normal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</w:t>
      </w:r>
      <w:r>
        <w:rPr>
          <w:rFonts w:ascii="Times New Roman" w:hAnsi="Times New Roman"/>
          <w:sz w:val="24"/>
          <w:szCs w:val="24"/>
        </w:rPr>
        <w:t>Moja škôlka</w:t>
      </w:r>
    </w:p>
    <w:p>
      <w:pPr>
        <w:pStyle w:val="Normal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</w:t>
      </w:r>
      <w:r>
        <w:rPr>
          <w:rFonts w:ascii="Times New Roman" w:hAnsi="Times New Roman"/>
          <w:sz w:val="24"/>
          <w:szCs w:val="24"/>
        </w:rPr>
        <w:t>Moje bydlisko</w:t>
      </w:r>
    </w:p>
    <w:p>
      <w:pPr>
        <w:pStyle w:val="Normal"/>
        <w:jc w:val="left"/>
        <w:rPr>
          <w:rFonts w:ascii="Times New Roman" w:hAnsi="Times New Roman"/>
          <w:sz w:val="24"/>
          <w:szCs w:val="24"/>
        </w:rPr>
      </w:pPr>
      <w:r>
        <w:drawing>
          <wp:anchor distT="0" distB="0" distL="0" distR="0" simplePos="0" relativeHeight="23" behindDoc="0" locked="0" layoutInCell="0" allowOverlap="1">
            <wp:simplePos x="0" y="0"/>
            <wp:positionH relativeFrom="column">
              <wp:posOffset>111760</wp:posOffset>
            </wp:positionH>
            <wp:positionV relativeFrom="paragraph">
              <wp:posOffset>-99060</wp:posOffset>
            </wp:positionV>
            <wp:extent cx="1956435" cy="2061210"/>
            <wp:effectExtent l="0" t="0" r="0" b="0"/>
            <wp:wrapSquare wrapText="right"/>
            <wp:docPr id="22" name="Obrázok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Obrázok16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6435" cy="2061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4"/>
          <w:szCs w:val="24"/>
        </w:rPr>
        <w:t>Na ceste si dávaj pozor</w:t>
      </w:r>
    </w:p>
    <w:p>
      <w:pPr>
        <w:pStyle w:val="Normal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Predmety a hračky</w:t>
      </w:r>
    </w:p>
    <w:p>
      <w:pPr>
        <w:pStyle w:val="Normal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Farebná jeseň</w:t>
      </w:r>
    </w:p>
    <w:p>
      <w:pPr>
        <w:pStyle w:val="Normal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Rodina – dedko a babka</w:t>
      </w:r>
    </w:p>
    <w:p>
      <w:pPr>
        <w:pStyle w:val="Normal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Jeseň v záhrade</w:t>
      </w:r>
    </w:p>
    <w:p>
      <w:pPr>
        <w:pStyle w:val="Normal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Čistá voda nad zlato</w:t>
      </w:r>
    </w:p>
    <w:p>
      <w:pPr>
        <w:pStyle w:val="Normal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</w:t>
      </w:r>
      <w:r>
        <w:rPr>
          <w:rFonts w:ascii="Times New Roman" w:hAnsi="Times New Roman"/>
          <w:sz w:val="24"/>
          <w:szCs w:val="24"/>
        </w:rPr>
        <w:t>Vitamíny pre moje telo</w:t>
      </w:r>
    </w:p>
    <w:p>
      <w:pPr>
        <w:pStyle w:val="Normal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</w:t>
      </w:r>
      <w:r>
        <w:rPr>
          <w:rFonts w:ascii="Times New Roman" w:hAnsi="Times New Roman"/>
          <w:sz w:val="24"/>
          <w:szCs w:val="24"/>
        </w:rPr>
        <w:t>Staráme sa o vtáčiky</w:t>
      </w:r>
    </w:p>
    <w:p>
      <w:pPr>
        <w:pStyle w:val="Normal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</w:t>
      </w:r>
      <w:r>
        <w:rPr>
          <w:rFonts w:ascii="Times New Roman" w:hAnsi="Times New Roman"/>
          <w:sz w:val="24"/>
          <w:szCs w:val="24"/>
        </w:rPr>
        <w:t>Lesné zvieratká</w:t>
      </w:r>
    </w:p>
    <w:p>
      <w:pPr>
        <w:pStyle w:val="Normal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Mikulášska čižm</w:t>
      </w:r>
      <w:r>
        <w:drawing>
          <wp:anchor distT="0" distB="0" distL="0" distR="0" simplePos="0" relativeHeight="24" behindDoc="0" locked="0" layoutInCell="0" allowOverlap="1">
            <wp:simplePos x="0" y="0"/>
            <wp:positionH relativeFrom="column">
              <wp:posOffset>10160</wp:posOffset>
            </wp:positionH>
            <wp:positionV relativeFrom="paragraph">
              <wp:posOffset>1905</wp:posOffset>
            </wp:positionV>
            <wp:extent cx="2111375" cy="2066925"/>
            <wp:effectExtent l="0" t="0" r="0" b="0"/>
            <wp:wrapSquare wrapText="largest"/>
            <wp:docPr id="23" name="Obrázok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Obrázok19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1375" cy="2066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4"/>
          <w:szCs w:val="24"/>
        </w:rPr>
        <w:t>ička</w:t>
      </w:r>
    </w:p>
    <w:p>
      <w:pPr>
        <w:pStyle w:val="Normal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Prišla zima už je mráz</w:t>
      </w:r>
    </w:p>
    <w:p>
      <w:pPr>
        <w:pStyle w:val="Normal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Čas Vianoc prichádza k nám</w:t>
      </w:r>
    </w:p>
    <w:p>
      <w:pPr>
        <w:pStyle w:val="Normal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Zimné hry a športy</w:t>
      </w:r>
    </w:p>
    <w:p>
      <w:pPr>
        <w:pStyle w:val="Normal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Zdravie – čerstvý vzduch je náš kamarát</w:t>
      </w:r>
    </w:p>
    <w:p>
      <w:pPr>
        <w:pStyle w:val="Normal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Príroda oddychuje</w:t>
      </w:r>
    </w:p>
    <w:p>
      <w:pPr>
        <w:pStyle w:val="Normal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Kalendár a čas – režim dňa</w:t>
      </w:r>
    </w:p>
    <w:p>
      <w:pPr>
        <w:pStyle w:val="Normal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</w:t>
      </w:r>
      <w:r>
        <w:rPr>
          <w:rFonts w:ascii="Times New Roman" w:hAnsi="Times New Roman"/>
          <w:sz w:val="24"/>
          <w:szCs w:val="24"/>
        </w:rPr>
        <w:t>Vpravo, vľavo padá vločka</w:t>
      </w:r>
    </w:p>
    <w:p>
      <w:pPr>
        <w:pStyle w:val="Normal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</w:t>
      </w:r>
      <w:r>
        <w:rPr>
          <w:rFonts w:ascii="Times New Roman" w:hAnsi="Times New Roman"/>
          <w:sz w:val="24"/>
          <w:szCs w:val="24"/>
        </w:rPr>
        <w:t>Kráľovstvo masiek</w:t>
      </w:r>
    </w:p>
    <w:p>
      <w:pPr>
        <w:pStyle w:val="Normal"/>
        <w:jc w:val="left"/>
        <w:rPr>
          <w:rFonts w:ascii="Times New Roman" w:hAnsi="Times New Roman"/>
          <w:sz w:val="24"/>
          <w:szCs w:val="24"/>
        </w:rPr>
      </w:pPr>
      <w:r>
        <w:drawing>
          <wp:anchor distT="0" distB="0" distL="0" distR="0" simplePos="0" relativeHeight="25" behindDoc="0" locked="0" layoutInCell="0" allowOverlap="1">
            <wp:simplePos x="0" y="0"/>
            <wp:positionH relativeFrom="column">
              <wp:posOffset>11430</wp:posOffset>
            </wp:positionH>
            <wp:positionV relativeFrom="paragraph">
              <wp:posOffset>70485</wp:posOffset>
            </wp:positionV>
            <wp:extent cx="2338705" cy="2432685"/>
            <wp:effectExtent l="0" t="0" r="0" b="0"/>
            <wp:wrapSquare wrapText="largest"/>
            <wp:docPr id="24" name="Obrázok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Obrázok20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8705" cy="2432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4"/>
          <w:szCs w:val="24"/>
        </w:rPr>
        <w:t>Moje ruky objavujú</w:t>
      </w:r>
    </w:p>
    <w:p>
      <w:pPr>
        <w:pStyle w:val="Normal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Nekonečný vesmír</w:t>
      </w:r>
    </w:p>
    <w:p>
      <w:pPr>
        <w:pStyle w:val="Normal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Od semienka, ku rastlinke</w:t>
      </w:r>
    </w:p>
    <w:p>
      <w:pPr>
        <w:pStyle w:val="Normal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Rozpoviem ti rozprávočku</w:t>
      </w:r>
    </w:p>
    <w:p>
      <w:pPr>
        <w:pStyle w:val="Normal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Príroda už skoro vstala</w:t>
      </w:r>
    </w:p>
    <w:p>
      <w:pPr>
        <w:pStyle w:val="Normal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Ja som malý ochranár</w:t>
      </w:r>
    </w:p>
    <w:p>
      <w:pPr>
        <w:pStyle w:val="Normal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Maľované vajíčko</w:t>
      </w:r>
    </w:p>
    <w:p>
      <w:pPr>
        <w:pStyle w:val="Normal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 gazdovskom dvore</w:t>
      </w:r>
    </w:p>
    <w:p>
      <w:pPr>
        <w:pStyle w:val="Normal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</w:t>
      </w:r>
      <w:r>
        <w:rPr>
          <w:rFonts w:ascii="Times New Roman" w:hAnsi="Times New Roman"/>
          <w:sz w:val="24"/>
          <w:szCs w:val="24"/>
        </w:rPr>
        <w:t>Remeslo má zlaté dno</w:t>
      </w:r>
    </w:p>
    <w:p>
      <w:pPr>
        <w:pStyle w:val="Normal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</w:t>
      </w:r>
      <w:r>
        <w:rPr>
          <w:rFonts w:ascii="Times New Roman" w:hAnsi="Times New Roman"/>
          <w:sz w:val="24"/>
          <w:szCs w:val="24"/>
        </w:rPr>
        <w:t>Chrobáčiky na lúke</w:t>
      </w:r>
    </w:p>
    <w:p>
      <w:pPr>
        <w:pStyle w:val="Normal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</w:t>
      </w:r>
      <w:r>
        <w:drawing>
          <wp:anchor distT="0" distB="0" distL="0" distR="0" simplePos="0" relativeHeight="26" behindDoc="0" locked="0" layoutInCell="0" allowOverlap="1">
            <wp:simplePos x="0" y="0"/>
            <wp:positionH relativeFrom="column">
              <wp:posOffset>74295</wp:posOffset>
            </wp:positionH>
            <wp:positionV relativeFrom="paragraph">
              <wp:posOffset>90170</wp:posOffset>
            </wp:positionV>
            <wp:extent cx="2212975" cy="2055495"/>
            <wp:effectExtent l="0" t="0" r="0" b="0"/>
            <wp:wrapSquare wrapText="largest"/>
            <wp:docPr id="25" name="Obrázok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Obrázok21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2975" cy="20554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4"/>
          <w:szCs w:val="24"/>
        </w:rPr>
        <w:t>áhradné a lúčne kvety</w:t>
      </w:r>
    </w:p>
    <w:p>
      <w:pPr>
        <w:pStyle w:val="Normal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Ľúbim svoju mamičku</w:t>
      </w:r>
    </w:p>
    <w:p>
      <w:pPr>
        <w:pStyle w:val="Normal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Život pri vode</w:t>
      </w:r>
    </w:p>
    <w:p>
      <w:pPr>
        <w:pStyle w:val="Normal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Cestou – necestou po Slovensku</w:t>
      </w:r>
    </w:p>
    <w:p>
      <w:pPr>
        <w:pStyle w:val="Normal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Sviatok majú všetky deti</w:t>
      </w:r>
    </w:p>
    <w:p>
      <w:pPr>
        <w:pStyle w:val="Normal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Prišlo leto</w:t>
      </w:r>
    </w:p>
    <w:p>
      <w:pPr>
        <w:pStyle w:val="Normal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Hurá do džungle</w:t>
      </w:r>
    </w:p>
    <w:p>
      <w:pPr>
        <w:pStyle w:val="Normal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</w:t>
      </w:r>
      <w:r>
        <w:rPr>
          <w:rFonts w:ascii="Times New Roman" w:hAnsi="Times New Roman"/>
          <w:sz w:val="24"/>
          <w:szCs w:val="24"/>
        </w:rPr>
        <w:t>Na kolesách, po vode a vo vzduchu</w:t>
      </w:r>
    </w:p>
    <w:p>
      <w:pPr>
        <w:pStyle w:val="Normal"/>
        <w:widowControl/>
        <w:bidi w:val="0"/>
        <w:spacing w:lineRule="auto" w:line="276" w:before="0" w:after="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lineRule="auto" w:line="360"/>
        <w:jc w:val="left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</w:t>
      </w:r>
    </w:p>
    <w:p>
      <w:pPr>
        <w:pStyle w:val="Normal"/>
        <w:spacing w:lineRule="auto" w:line="36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360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</w:t>
      </w:r>
    </w:p>
    <w:p>
      <w:pPr>
        <w:pStyle w:val="Normal"/>
        <w:spacing w:lineRule="auto" w:line="360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</w:t>
      </w:r>
    </w:p>
    <w:p>
      <w:pPr>
        <w:pStyle w:val="Normal"/>
        <w:spacing w:lineRule="auto" w:line="360" w:before="0" w:after="200"/>
        <w:ind w:left="36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sectPr>
      <w:footerReference w:type="even" r:id="rId28"/>
      <w:footerReference w:type="default" r:id="rId29"/>
      <w:footerReference w:type="first" r:id="rId30"/>
      <w:type w:val="nextPage"/>
      <w:pgSz w:w="11906" w:h="16838"/>
      <w:pgMar w:left="1417" w:right="1417" w:gutter="0" w:header="0" w:top="1417" w:footer="708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ahoma">
    <w:charset w:val="ee"/>
    <w:family w:val="swiss"/>
    <w:pitch w:val="variable"/>
  </w:font>
  <w:font w:name="Liberation Sans">
    <w:altName w:val="Arial"/>
    <w:charset w:val="ee"/>
    <w:family w:val="swiss"/>
    <w:pitch w:val="variable"/>
  </w:font>
  <w:font w:name="Cambria">
    <w:charset w:val="ee"/>
    <w:family w:val="roman"/>
    <w:pitch w:val="variable"/>
  </w:font>
  <w:font w:name="Times New Roman">
    <w:charset w:val="ee"/>
    <w:family w:val="roman"/>
    <w:pitch w:val="variable"/>
  </w:font>
  <w:font w:name="Segoe Script">
    <w:charset w:val="ee"/>
    <w:family w:val="swiss"/>
    <w:pitch w:val="variable"/>
  </w:font>
  <w:font w:name="Bookman Old Style">
    <w:charset w:val="01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  <w:font w:name="Times New Roman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id w:val="-1198392969"/>
      <w:docPartObj>
        <w:docPartGallery w:val="Page Numbers (Bottom of Page)"/>
        <w:docPartUnique w:val="true"/>
      </w:docPartObj>
    </w:sdtPr>
    <w:sdtContent>
      <w:p>
        <w:pPr>
          <w:pStyle w:val="Footer"/>
          <w:jc w:val="right"/>
          <w:rPr/>
        </w:pPr>
        <w:r>
          <w:rPr/>
          <w:fldChar w:fldCharType="begin"/>
        </w:r>
        <w:r>
          <w:rPr/>
          <w:instrText xml:space="preserve"> PAGE </w:instrText>
        </w:r>
        <w:r>
          <w:rPr/>
          <w:fldChar w:fldCharType="separate"/>
        </w:r>
        <w:r>
          <w:rPr/>
          <w:t>14</w:t>
        </w:r>
        <w:r>
          <w:rPr/>
          <w:fldChar w:fldCharType="end"/>
        </w:r>
      </w:p>
    </w:sdtContent>
  </w:sdt>
  <w:p>
    <w:pPr>
      <w:pStyle w:val="Foo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id w:val="-1198392969"/>
      <w:docPartObj>
        <w:docPartGallery w:val="Page Numbers (Bottom of Page)"/>
        <w:docPartUnique w:val="true"/>
      </w:docPartObj>
    </w:sdtPr>
    <w:sdtContent>
      <w:p>
        <w:pPr>
          <w:pStyle w:val="Footer"/>
          <w:jc w:val="right"/>
          <w:rPr/>
        </w:pPr>
        <w:r>
          <w:rPr/>
          <w:fldChar w:fldCharType="begin"/>
        </w:r>
        <w:r>
          <w:rPr/>
          <w:instrText xml:space="preserve"> PAGE </w:instrText>
        </w:r>
        <w:r>
          <w:rPr/>
          <w:fldChar w:fldCharType="separate"/>
        </w:r>
        <w:r>
          <w:rPr/>
          <w:t>14</w:t>
        </w:r>
        <w:r>
          <w:rPr/>
          <w:fldChar w:fldCharType="end"/>
        </w:r>
      </w:p>
    </w:sdtContent>
  </w:sdt>
  <w:p>
    <w:pPr>
      <w:pStyle w:val="Footer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*"/>
      <w:lvlJc w:val="left"/>
      <w:pPr>
        <w:tabs>
          <w:tab w:val="num" w:pos="0"/>
        </w:tabs>
        <w:ind w:left="660" w:hanging="360"/>
      </w:pPr>
      <w:rPr>
        <w:rFonts w:ascii="Bookman Old Style" w:hAnsi="Bookman Old Style" w:cs="Bookman Old Style" w:hint="default"/>
        <w:w w:val="100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3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5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2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9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2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4">
    <w:lvl w:ilvl="0">
      <w:numFmt w:val="bullet"/>
      <w:lvlText w:val="-"/>
      <w:lvlJc w:val="left"/>
      <w:pPr>
        <w:tabs>
          <w:tab w:val="num" w:pos="0"/>
        </w:tabs>
        <w:ind w:left="108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 w:cs="Wingdings" w:hint="default"/>
      </w:rPr>
    </w:lvl>
  </w:abstractNum>
  <w:abstractNum w:abstractNumId="5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65"/>
  <w:defaultTabStop w:val="708"/>
  <w:autoHyphenation w:val="true"/>
  <w:hyphenationZone w:val="0"/>
  <w:compat>
    <w:compatSetting w:name="compatibilityMode" w:uri="http://schemas.microsoft.com/office/word" w:val="12"/>
  </w:compat>
  <w:themeFontLang w:val="sk-SK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sk-SK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f37f82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sk-SK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ZkladntextChar" w:customStyle="1">
    <w:name w:val="Základný text Char"/>
    <w:basedOn w:val="DefaultParagraphFont"/>
    <w:uiPriority w:val="1"/>
    <w:qFormat/>
    <w:rsid w:val="00aa0699"/>
    <w:rPr>
      <w:rFonts w:ascii="Calibri" w:hAnsi="Calibri" w:eastAsia="Calibri" w:cs="Calibri"/>
      <w:lang w:val="en-US"/>
    </w:rPr>
  </w:style>
  <w:style w:type="character" w:styleId="TextbublinyChar" w:customStyle="1">
    <w:name w:val="Text bubliny Char"/>
    <w:basedOn w:val="DefaultParagraphFont"/>
    <w:link w:val="BalloonText"/>
    <w:uiPriority w:val="99"/>
    <w:semiHidden/>
    <w:qFormat/>
    <w:rsid w:val="003e7ab8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3f1086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3f1086"/>
    <w:rPr>
      <w:color w:val="0000FF"/>
      <w:u w:val="single"/>
    </w:rPr>
  </w:style>
  <w:style w:type="character" w:styleId="apple-converted-space" w:customStyle="1">
    <w:name w:val="apple-converted-space"/>
    <w:basedOn w:val="DefaultParagraphFont"/>
    <w:qFormat/>
    <w:rsid w:val="003f1086"/>
    <w:rPr/>
  </w:style>
  <w:style w:type="character" w:styleId="HlavikaChar" w:customStyle="1">
    <w:name w:val="Hlavička Char"/>
    <w:basedOn w:val="DefaultParagraphFont"/>
    <w:uiPriority w:val="99"/>
    <w:qFormat/>
    <w:rsid w:val="00020ac0"/>
    <w:rPr/>
  </w:style>
  <w:style w:type="character" w:styleId="PtaChar" w:customStyle="1">
    <w:name w:val="Päta Char"/>
    <w:basedOn w:val="DefaultParagraphFont"/>
    <w:uiPriority w:val="99"/>
    <w:qFormat/>
    <w:rsid w:val="00020ac0"/>
    <w:rPr/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link w:val="ZkladntextChar"/>
    <w:uiPriority w:val="1"/>
    <w:qFormat/>
    <w:rsid w:val="00aa0699"/>
    <w:pPr>
      <w:widowControl w:val="false"/>
      <w:spacing w:lineRule="auto" w:line="240" w:before="0" w:after="0"/>
    </w:pPr>
    <w:rPr>
      <w:rFonts w:ascii="Calibri" w:hAnsi="Calibri" w:eastAsia="Calibri" w:cs="Calibri"/>
      <w:lang w:val="en-US"/>
    </w:rPr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Register">
    <w:name w:val="Register"/>
    <w:basedOn w:val="Normal"/>
    <w:qFormat/>
    <w:pPr>
      <w:suppressLineNumbers/>
    </w:pPr>
    <w:rPr>
      <w:rFonts w:cs="Lucida Sans"/>
    </w:rPr>
  </w:style>
  <w:style w:type="paragraph" w:styleId="Nadpisuser">
    <w:name w:val="Nadpis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Registeruser">
    <w:name w:val="Register (user)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1"/>
    <w:qFormat/>
    <w:rsid w:val="004f5afd"/>
    <w:pPr>
      <w:spacing w:before="0" w:after="200"/>
      <w:ind w:left="720"/>
      <w:contextualSpacing/>
    </w:pPr>
    <w:rPr/>
  </w:style>
  <w:style w:type="paragraph" w:styleId="BalloonText">
    <w:name w:val="Balloon Text"/>
    <w:basedOn w:val="Normal"/>
    <w:link w:val="TextbublinyChar"/>
    <w:uiPriority w:val="99"/>
    <w:semiHidden/>
    <w:unhideWhenUsed/>
    <w:qFormat/>
    <w:rsid w:val="003e7ab8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Hlavikaaptauser">
    <w:name w:val="Hlavička a päta (user)"/>
    <w:basedOn w:val="Normal"/>
    <w:qFormat/>
    <w:pPr/>
    <w:rPr/>
  </w:style>
  <w:style w:type="paragraph" w:styleId="Hlavikaapta">
    <w:name w:val="Hlavička a päta"/>
    <w:basedOn w:val="Normal"/>
    <w:qFormat/>
    <w:pPr/>
    <w:rPr/>
  </w:style>
  <w:style w:type="paragraph" w:styleId="Header">
    <w:name w:val="header"/>
    <w:basedOn w:val="Normal"/>
    <w:link w:val="HlavikaChar"/>
    <w:uiPriority w:val="99"/>
    <w:unhideWhenUsed/>
    <w:rsid w:val="00020ac0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PtaChar"/>
    <w:uiPriority w:val="99"/>
    <w:unhideWhenUsed/>
    <w:rsid w:val="00020ac0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Obsahrmcauser">
    <w:name w:val="Obsah rámca (user)"/>
    <w:basedOn w:val="Normal"/>
    <w:qFormat/>
    <w:pPr/>
    <w:rPr/>
  </w:style>
  <w:style w:type="paragraph" w:styleId="Obsahrmca">
    <w:name w:val="Obsah rámca"/>
    <w:basedOn w:val="Normal"/>
    <w:qFormat/>
    <w:pPr/>
    <w:rPr/>
  </w:style>
  <w:style w:type="paragraph" w:styleId="Title">
    <w:name w:val="Title"/>
    <w:basedOn w:val="Normal"/>
    <w:next w:val="Normal"/>
    <w:qFormat/>
    <w:pPr>
      <w:pBdr>
        <w:bottom w:val="single" w:sz="8" w:space="4" w:color="4F81BD" w:themeColor="accent1"/>
      </w:pBdr>
      <w:spacing w:lineRule="auto" w:line="240" w:before="0" w:after="300"/>
      <w:contextualSpacing/>
    </w:pPr>
    <w:rPr>
      <w:rFonts w:ascii="Cambria" w:hAnsi="Cambria" w:eastAsia="" w:cs="" w:asciiTheme="majorHAnsi" w:cstheme="majorBidi" w:eastAsiaTheme="majorEastAsia" w:hAnsiTheme="majorHAnsi"/>
      <w:color w:themeColor="text2" w:themeShade="bf" w:val="17365D"/>
      <w:spacing w:val="5"/>
      <w:kern w:val="2"/>
      <w:sz w:val="52"/>
      <w:szCs w:val="52"/>
    </w:rPr>
  </w:style>
  <w:style w:type="numbering" w:styleId="Bezzoznamuuser" w:default="1">
    <w:name w:val="Bez zoznamu (user)"/>
    <w:uiPriority w:val="99"/>
    <w:semiHidden/>
    <w:unhideWhenUsed/>
    <w:qFormat/>
  </w:style>
  <w:style w:type="table" w:default="1" w:styleId="Normlnatabu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Mriekatabuky">
    <w:name w:val="Table Grid"/>
    <w:basedOn w:val="Normlnatabuka"/>
    <w:uiPriority w:val="59"/>
    <w:rsid w:val="007f0b3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png"/><Relationship Id="rId4" Type="http://schemas.openxmlformats.org/officeDocument/2006/relationships/image" Target="media/image2.png"/><Relationship Id="rId5" Type="http://schemas.openxmlformats.org/officeDocument/2006/relationships/image" Target="media/image3.png"/><Relationship Id="rId6" Type="http://schemas.openxmlformats.org/officeDocument/2006/relationships/image" Target="media/image4.png"/><Relationship Id="rId7" Type="http://schemas.openxmlformats.org/officeDocument/2006/relationships/image" Target="media/image5.png"/><Relationship Id="rId8" Type="http://schemas.openxmlformats.org/officeDocument/2006/relationships/image" Target="media/image2.png"/><Relationship Id="rId9" Type="http://schemas.openxmlformats.org/officeDocument/2006/relationships/image" Target="media/image6.png"/><Relationship Id="rId10" Type="http://schemas.openxmlformats.org/officeDocument/2006/relationships/image" Target="media/image2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jpe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2.png"/><Relationship Id="rId17" Type="http://schemas.openxmlformats.org/officeDocument/2006/relationships/image" Target="media/image2.png"/><Relationship Id="rId18" Type="http://schemas.openxmlformats.org/officeDocument/2006/relationships/image" Target="media/image12.png"/><Relationship Id="rId19" Type="http://schemas.openxmlformats.org/officeDocument/2006/relationships/image" Target="media/image13.jpeg"/><Relationship Id="rId20" Type="http://schemas.openxmlformats.org/officeDocument/2006/relationships/image" Target="media/image13.jpeg"/><Relationship Id="rId21" Type="http://schemas.openxmlformats.org/officeDocument/2006/relationships/image" Target="media/image14.png"/><Relationship Id="rId22" Type="http://schemas.openxmlformats.org/officeDocument/2006/relationships/hyperlink" Target="mailto:obec@kvacanylm.sk" TargetMode="External"/><Relationship Id="rId23" Type="http://schemas.openxmlformats.org/officeDocument/2006/relationships/hyperlink" Target="mailto:podatelna@kvacanylm.sk" TargetMode="External"/><Relationship Id="rId24" Type="http://schemas.openxmlformats.org/officeDocument/2006/relationships/image" Target="media/image15.png"/><Relationship Id="rId25" Type="http://schemas.openxmlformats.org/officeDocument/2006/relationships/image" Target="media/image16.png"/><Relationship Id="rId26" Type="http://schemas.openxmlformats.org/officeDocument/2006/relationships/image" Target="media/image17.png"/><Relationship Id="rId27" Type="http://schemas.openxmlformats.org/officeDocument/2006/relationships/image" Target="media/image18.png"/><Relationship Id="rId28" Type="http://schemas.openxmlformats.org/officeDocument/2006/relationships/footer" Target="footer1.xml"/><Relationship Id="rId29" Type="http://schemas.openxmlformats.org/officeDocument/2006/relationships/footer" Target="footer2.xml"/><Relationship Id="rId30" Type="http://schemas.openxmlformats.org/officeDocument/2006/relationships/footer" Target="footer3.xml"/><Relationship Id="rId31" Type="http://schemas.openxmlformats.org/officeDocument/2006/relationships/numbering" Target="numbering.xml"/><Relationship Id="rId32" Type="http://schemas.openxmlformats.org/officeDocument/2006/relationships/fontTable" Target="fontTable.xml"/><Relationship Id="rId33" Type="http://schemas.openxmlformats.org/officeDocument/2006/relationships/settings" Target="settings.xml"/><Relationship Id="rId34" Type="http://schemas.openxmlformats.org/officeDocument/2006/relationships/theme" Target="theme/theme1.xml"/><Relationship Id="rId3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Motív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A46FB4-D294-4E73-9E69-19629D7E11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623</TotalTime>
  <Application>LibreOffice/26.2.1.2$Windows_X86_64 LibreOffice_project/620$Build-2</Application>
  <AppVersion>15.0000</AppVersion>
  <Pages>14</Pages>
  <Words>2274</Words>
  <Characters>14625</Characters>
  <CharactersWithSpaces>17760</CharactersWithSpaces>
  <Paragraphs>178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2016-08-22T15:50:00Z</dcterms:created>
  <dc:creator>ASUS</dc:creator>
  <dc:description/>
  <dc:language>sk-SK</dc:language>
  <cp:lastModifiedBy/>
  <dcterms:modified xsi:type="dcterms:W3CDTF">2026-04-03T15:40:36Z</dcterms:modified>
  <cp:revision>26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